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7EA681" w14:textId="77777777" w:rsidR="00754117" w:rsidRPr="00754117" w:rsidRDefault="00754117" w:rsidP="00754117">
      <w:pPr>
        <w:shd w:val="clear" w:color="auto" w:fill="FFFFFF"/>
        <w:spacing w:after="100" w:afterAutospacing="1" w:line="240" w:lineRule="auto"/>
        <w:outlineLvl w:val="4"/>
        <w:rPr>
          <w:rFonts w:ascii="Arial" w:eastAsia="Times New Roman" w:hAnsi="Arial" w:cs="Arial"/>
          <w:b/>
          <w:bCs/>
          <w:color w:val="000000"/>
          <w:sz w:val="20"/>
          <w:szCs w:val="20"/>
          <w:lang w:eastAsia="pl-PL"/>
        </w:rPr>
      </w:pPr>
      <w:r w:rsidRPr="00754117">
        <w:rPr>
          <w:rFonts w:ascii="Arial" w:eastAsia="Times New Roman" w:hAnsi="Arial" w:cs="Arial"/>
          <w:b/>
          <w:bCs/>
          <w:color w:val="000000"/>
          <w:sz w:val="20"/>
          <w:szCs w:val="20"/>
          <w:lang w:eastAsia="pl-PL"/>
        </w:rPr>
        <w:t>I PSKP 29/22</w:t>
      </w:r>
    </w:p>
    <w:p w14:paraId="14C66A0C" w14:textId="77777777" w:rsidR="00754117" w:rsidRPr="00754117" w:rsidRDefault="00754117" w:rsidP="00754117">
      <w:pPr>
        <w:shd w:val="clear" w:color="auto" w:fill="FFFFFF"/>
        <w:spacing w:after="0" w:line="240" w:lineRule="auto"/>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w:t>
      </w:r>
    </w:p>
    <w:p w14:paraId="1ADF1744" w14:textId="77777777" w:rsidR="00754117" w:rsidRPr="00754117" w:rsidRDefault="00754117" w:rsidP="00754117">
      <w:pPr>
        <w:shd w:val="clear" w:color="auto" w:fill="FFFFFF"/>
        <w:spacing w:after="0" w:line="240" w:lineRule="auto"/>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w:t>
      </w:r>
    </w:p>
    <w:p w14:paraId="7B8C5B6C" w14:textId="77777777" w:rsidR="00754117" w:rsidRPr="00754117" w:rsidRDefault="00754117" w:rsidP="00754117">
      <w:pPr>
        <w:shd w:val="clear" w:color="auto" w:fill="FFFFFF"/>
        <w:spacing w:after="0" w:line="240" w:lineRule="auto"/>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w:t>
      </w:r>
    </w:p>
    <w:p w14:paraId="529C48A0" w14:textId="77777777" w:rsidR="00754117" w:rsidRPr="00754117" w:rsidRDefault="00754117" w:rsidP="00754117">
      <w:pPr>
        <w:shd w:val="clear" w:color="auto" w:fill="FFFFFF"/>
        <w:spacing w:after="0" w:line="240" w:lineRule="auto"/>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w:t>
      </w:r>
    </w:p>
    <w:p w14:paraId="509B0ED8" w14:textId="58D14ECE" w:rsidR="00754117" w:rsidRPr="00754117" w:rsidRDefault="00754117" w:rsidP="00754117">
      <w:pPr>
        <w:shd w:val="clear" w:color="auto" w:fill="FFFFFF"/>
        <w:spacing w:after="0" w:line="240" w:lineRule="auto"/>
        <w:rPr>
          <w:rFonts w:ascii="Arial" w:eastAsia="Times New Roman" w:hAnsi="Arial" w:cs="Arial"/>
          <w:color w:val="000000"/>
          <w:sz w:val="23"/>
          <w:szCs w:val="23"/>
          <w:lang w:eastAsia="pl-PL"/>
        </w:rPr>
      </w:pPr>
      <w:r w:rsidRPr="00754117">
        <w:rPr>
          <w:rFonts w:ascii="Arial" w:eastAsia="Times New Roman" w:hAnsi="Arial" w:cs="Arial"/>
          <w:color w:val="000000"/>
          <w:sz w:val="23"/>
          <w:szCs w:val="23"/>
        </w:rPr>
        <w:object w:dxaOrig="225" w:dyaOrig="225" w14:anchorId="1F11DE0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in;height:18pt" o:ole="">
            <v:imagedata r:id="rId4" o:title=""/>
          </v:shape>
          <w:control r:id="rId5" w:name="DefaultOcxName" w:shapeid="_x0000_i1028"/>
        </w:object>
      </w:r>
    </w:p>
    <w:p w14:paraId="679563CF" w14:textId="77777777" w:rsidR="00754117" w:rsidRPr="00754117" w:rsidRDefault="00754117" w:rsidP="00754117">
      <w:pPr>
        <w:shd w:val="clear" w:color="auto" w:fill="FFFFFF"/>
        <w:spacing w:after="0" w:line="240" w:lineRule="atLeast"/>
        <w:rPr>
          <w:rFonts w:ascii="var(--legalis-font-family)" w:eastAsia="Times New Roman" w:hAnsi="var(--legalis-font-family)" w:cs="Arial"/>
          <w:color w:val="000000"/>
          <w:spacing w:val="12"/>
          <w:sz w:val="23"/>
          <w:szCs w:val="23"/>
          <w:lang w:eastAsia="pl-PL"/>
        </w:rPr>
      </w:pPr>
      <w:r w:rsidRPr="00754117">
        <w:rPr>
          <w:rFonts w:ascii="var(--legalis-font-family)" w:eastAsia="Times New Roman" w:hAnsi="var(--legalis-font-family)" w:cs="Arial"/>
          <w:color w:val="000000"/>
          <w:spacing w:val="12"/>
          <w:sz w:val="23"/>
          <w:szCs w:val="23"/>
          <w:lang w:eastAsia="pl-PL"/>
        </w:rPr>
        <w:t> Wyłącz podświetlenie </w:t>
      </w:r>
    </w:p>
    <w:p w14:paraId="6922F941" w14:textId="77777777" w:rsidR="00754117" w:rsidRPr="00754117" w:rsidRDefault="00754117" w:rsidP="00754117">
      <w:pPr>
        <w:shd w:val="clear" w:color="auto" w:fill="FFFFFF"/>
        <w:spacing w:after="144" w:line="360" w:lineRule="atLeast"/>
        <w:jc w:val="center"/>
        <w:rPr>
          <w:rFonts w:ascii="Arial" w:eastAsia="Times New Roman" w:hAnsi="Arial" w:cs="Arial"/>
          <w:b/>
          <w:bCs/>
          <w:color w:val="000000"/>
          <w:sz w:val="23"/>
          <w:szCs w:val="23"/>
          <w:lang w:eastAsia="pl-PL"/>
        </w:rPr>
      </w:pPr>
      <w:r w:rsidRPr="00754117">
        <w:rPr>
          <w:rFonts w:ascii="Arial" w:eastAsia="Times New Roman" w:hAnsi="Arial" w:cs="Arial"/>
          <w:b/>
          <w:bCs/>
          <w:color w:val="000000"/>
          <w:sz w:val="23"/>
          <w:szCs w:val="23"/>
          <w:lang w:eastAsia="pl-PL"/>
        </w:rPr>
        <w:t>Rozpoznanie sprawy w granicach apelacji</w:t>
      </w:r>
    </w:p>
    <w:p w14:paraId="7DC11285" w14:textId="77777777" w:rsidR="00754117" w:rsidRPr="00754117" w:rsidRDefault="00754117" w:rsidP="00754117">
      <w:pPr>
        <w:shd w:val="clear" w:color="auto" w:fill="FFFFFF"/>
        <w:spacing w:after="0"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br/>
      </w:r>
    </w:p>
    <w:p w14:paraId="72F06556" w14:textId="77777777" w:rsidR="00754117" w:rsidRPr="00754117" w:rsidRDefault="00754117" w:rsidP="00754117">
      <w:pPr>
        <w:shd w:val="clear" w:color="auto" w:fill="FFFFFF"/>
        <w:spacing w:after="144" w:line="360" w:lineRule="atLeast"/>
        <w:jc w:val="center"/>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Wyrok</w:t>
      </w:r>
      <w:r w:rsidRPr="00754117">
        <w:rPr>
          <w:rFonts w:ascii="Arial" w:eastAsia="Times New Roman" w:hAnsi="Arial" w:cs="Arial"/>
          <w:color w:val="000000"/>
          <w:sz w:val="23"/>
          <w:szCs w:val="23"/>
          <w:lang w:eastAsia="pl-PL"/>
        </w:rPr>
        <w:br/>
        <w:t>Sądu Najwyższego - Izba Pracy i Ubezpieczeń Społecznych</w:t>
      </w:r>
      <w:r w:rsidRPr="00754117">
        <w:rPr>
          <w:rFonts w:ascii="Arial" w:eastAsia="Times New Roman" w:hAnsi="Arial" w:cs="Arial"/>
          <w:color w:val="000000"/>
          <w:sz w:val="23"/>
          <w:szCs w:val="23"/>
          <w:lang w:eastAsia="pl-PL"/>
        </w:rPr>
        <w:br/>
        <w:t>z dnia 13 lutego 2024 r.</w:t>
      </w:r>
      <w:r w:rsidRPr="00754117">
        <w:rPr>
          <w:rFonts w:ascii="Arial" w:eastAsia="Times New Roman" w:hAnsi="Arial" w:cs="Arial"/>
          <w:color w:val="000000"/>
          <w:sz w:val="23"/>
          <w:szCs w:val="23"/>
          <w:lang w:eastAsia="pl-PL"/>
        </w:rPr>
        <w:br/>
        <w:t>II PSKP 29/22</w:t>
      </w:r>
    </w:p>
    <w:p w14:paraId="0B6C792D" w14:textId="77777777" w:rsidR="00754117" w:rsidRPr="00754117" w:rsidRDefault="00754117" w:rsidP="00754117">
      <w:pPr>
        <w:shd w:val="clear" w:color="auto" w:fill="FFFFFF"/>
        <w:spacing w:before="240" w:after="144" w:line="240" w:lineRule="auto"/>
        <w:outlineLvl w:val="2"/>
        <w:rPr>
          <w:rFonts w:ascii="Arial" w:eastAsia="Times New Roman" w:hAnsi="Arial" w:cs="Arial"/>
          <w:color w:val="000000"/>
          <w:sz w:val="27"/>
          <w:szCs w:val="27"/>
          <w:lang w:eastAsia="pl-PL"/>
        </w:rPr>
      </w:pPr>
      <w:r w:rsidRPr="00754117">
        <w:rPr>
          <w:rFonts w:ascii="Arial" w:eastAsia="Times New Roman" w:hAnsi="Arial" w:cs="Arial"/>
          <w:color w:val="000000"/>
          <w:sz w:val="27"/>
          <w:szCs w:val="27"/>
          <w:lang w:eastAsia="pl-PL"/>
        </w:rPr>
        <w:t>Teza</w:t>
      </w:r>
    </w:p>
    <w:p w14:paraId="5B715A3C"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I.</w:t>
      </w:r>
    </w:p>
    <w:p w14:paraId="269F940E"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Art. 378 § 1 KPC mówi, że sąd drugiej instancji rozpoznaje sprawę merytorycznie w granicach zaskarżenia, dokonuje własnych ustaleń faktycznych, prowadzi lub ponawia dowody albo poprzestaje na materiale zebranym w pierwszej instancji, ustala podstawę prawną orzeczenia niezależnie od zarzutów podniesionych w apelacji, będąc ewentualnie związany oceną prawną lub uchwałą Sądu Najwyższego, stosuje przepisy regulujące postępowanie apelacyjne, a gdy brak takich przepisów, przepisy dotyczące postępowania przed sądem pierwszej instancji, kontroluje prawidłowość postępowania przed sądem pierwszej instancji. Rozpoznanie sprawy w granicach apelacji oznacza, że sąd drugiej instancji nie koncentruje się jedynie na ocenie zasadności zarzutów apelacyjnych, lecz rozstrzyga merytorycznie o zasadności zgłoszonych roszczeń procesowych, skoro funkcją tego przepisu jest zakreślenie granic rozpoznania sprawy przez sąd odwoławczy, a nie kierunek i reguły, wedle których mają zostać ocenione dowody.</w:t>
      </w:r>
    </w:p>
    <w:p w14:paraId="52FF91E9"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proofErr w:type="spellStart"/>
      <w:r w:rsidRPr="00754117">
        <w:rPr>
          <w:rFonts w:ascii="Arial" w:eastAsia="Times New Roman" w:hAnsi="Arial" w:cs="Arial"/>
          <w:color w:val="000000"/>
          <w:sz w:val="23"/>
          <w:szCs w:val="23"/>
          <w:lang w:eastAsia="pl-PL"/>
        </w:rPr>
        <w:t>opubl</w:t>
      </w:r>
      <w:proofErr w:type="spellEnd"/>
      <w:r w:rsidRPr="00754117">
        <w:rPr>
          <w:rFonts w:ascii="Arial" w:eastAsia="Times New Roman" w:hAnsi="Arial" w:cs="Arial"/>
          <w:color w:val="000000"/>
          <w:sz w:val="23"/>
          <w:szCs w:val="23"/>
          <w:lang w:eastAsia="pl-PL"/>
        </w:rPr>
        <w:t xml:space="preserve">. </w:t>
      </w:r>
      <w:proofErr w:type="spellStart"/>
      <w:r w:rsidRPr="00754117">
        <w:rPr>
          <w:rFonts w:ascii="Arial" w:eastAsia="Times New Roman" w:hAnsi="Arial" w:cs="Arial"/>
          <w:color w:val="000000"/>
          <w:sz w:val="23"/>
          <w:szCs w:val="23"/>
          <w:lang w:eastAsia="pl-PL"/>
        </w:rPr>
        <w:t>Legalis</w:t>
      </w:r>
      <w:proofErr w:type="spellEnd"/>
      <w:r w:rsidRPr="00754117">
        <w:rPr>
          <w:rFonts w:ascii="Arial" w:eastAsia="Times New Roman" w:hAnsi="Arial" w:cs="Arial"/>
          <w:color w:val="000000"/>
          <w:sz w:val="23"/>
          <w:szCs w:val="23"/>
          <w:lang w:eastAsia="pl-PL"/>
        </w:rPr>
        <w:t>.</w:t>
      </w:r>
    </w:p>
    <w:p w14:paraId="318D73A8"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II.</w:t>
      </w:r>
    </w:p>
    <w:p w14:paraId="1A9ACFF9"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Dyrektor szkoły - jeśli jest jednocześnie jej pracownikiem - może być ofiarą mobbingu (art. 94</w:t>
      </w:r>
      <w:r w:rsidRPr="00754117">
        <w:rPr>
          <w:rFonts w:ascii="Arial" w:eastAsia="Times New Roman" w:hAnsi="Arial" w:cs="Arial"/>
          <w:color w:val="000000"/>
          <w:sz w:val="17"/>
          <w:szCs w:val="17"/>
          <w:vertAlign w:val="superscript"/>
          <w:lang w:eastAsia="pl-PL"/>
        </w:rPr>
        <w:t>3</w:t>
      </w:r>
      <w:r w:rsidRPr="00754117">
        <w:rPr>
          <w:rFonts w:ascii="Arial" w:eastAsia="Times New Roman" w:hAnsi="Arial" w:cs="Arial"/>
          <w:color w:val="000000"/>
          <w:sz w:val="23"/>
          <w:szCs w:val="23"/>
          <w:lang w:eastAsia="pl-PL"/>
        </w:rPr>
        <w:t> KP).</w:t>
      </w:r>
    </w:p>
    <w:p w14:paraId="40293210" w14:textId="77777777" w:rsidR="00754117" w:rsidRPr="00754117" w:rsidRDefault="00754117" w:rsidP="00754117">
      <w:pPr>
        <w:shd w:val="clear" w:color="auto" w:fill="FFFFFF"/>
        <w:spacing w:after="0" w:line="360" w:lineRule="atLeast"/>
        <w:rPr>
          <w:rFonts w:ascii="Arial" w:eastAsia="Times New Roman" w:hAnsi="Arial" w:cs="Arial"/>
          <w:color w:val="000000"/>
          <w:sz w:val="23"/>
          <w:szCs w:val="23"/>
          <w:lang w:eastAsia="pl-PL"/>
        </w:rPr>
      </w:pPr>
      <w:proofErr w:type="spellStart"/>
      <w:r w:rsidRPr="00754117">
        <w:rPr>
          <w:rFonts w:ascii="Arial" w:eastAsia="Times New Roman" w:hAnsi="Arial" w:cs="Arial"/>
          <w:color w:val="000000"/>
          <w:sz w:val="23"/>
          <w:szCs w:val="23"/>
          <w:lang w:eastAsia="pl-PL"/>
        </w:rPr>
        <w:t>opubl</w:t>
      </w:r>
      <w:proofErr w:type="spellEnd"/>
      <w:r w:rsidRPr="00754117">
        <w:rPr>
          <w:rFonts w:ascii="Arial" w:eastAsia="Times New Roman" w:hAnsi="Arial" w:cs="Arial"/>
          <w:color w:val="000000"/>
          <w:sz w:val="23"/>
          <w:szCs w:val="23"/>
          <w:lang w:eastAsia="pl-PL"/>
        </w:rPr>
        <w:t xml:space="preserve">. OSNP 2024/8/80; </w:t>
      </w:r>
      <w:proofErr w:type="spellStart"/>
      <w:r w:rsidRPr="00754117">
        <w:rPr>
          <w:rFonts w:ascii="Arial" w:eastAsia="Times New Roman" w:hAnsi="Arial" w:cs="Arial"/>
          <w:color w:val="000000"/>
          <w:sz w:val="23"/>
          <w:szCs w:val="23"/>
          <w:lang w:eastAsia="pl-PL"/>
        </w:rPr>
        <w:t>MoPr</w:t>
      </w:r>
      <w:proofErr w:type="spellEnd"/>
      <w:r w:rsidRPr="00754117">
        <w:rPr>
          <w:rFonts w:ascii="Arial" w:eastAsia="Times New Roman" w:hAnsi="Arial" w:cs="Arial"/>
          <w:color w:val="000000"/>
          <w:sz w:val="23"/>
          <w:szCs w:val="23"/>
          <w:lang w:eastAsia="pl-PL"/>
        </w:rPr>
        <w:t xml:space="preserve"> 2024/3/40.</w:t>
      </w:r>
    </w:p>
    <w:p w14:paraId="077268E8" w14:textId="77777777" w:rsidR="00754117" w:rsidRPr="00754117" w:rsidRDefault="00754117" w:rsidP="00754117">
      <w:pPr>
        <w:shd w:val="clear" w:color="auto" w:fill="FFFFFF"/>
        <w:spacing w:before="240" w:after="144" w:line="240" w:lineRule="auto"/>
        <w:outlineLvl w:val="2"/>
        <w:rPr>
          <w:rFonts w:ascii="Arial" w:eastAsia="Times New Roman" w:hAnsi="Arial" w:cs="Arial"/>
          <w:color w:val="000000"/>
          <w:sz w:val="27"/>
          <w:szCs w:val="27"/>
          <w:lang w:eastAsia="pl-PL"/>
        </w:rPr>
      </w:pPr>
      <w:r w:rsidRPr="00754117">
        <w:rPr>
          <w:rFonts w:ascii="Arial" w:eastAsia="Times New Roman" w:hAnsi="Arial" w:cs="Arial"/>
          <w:color w:val="000000"/>
          <w:sz w:val="27"/>
          <w:szCs w:val="27"/>
          <w:lang w:eastAsia="pl-PL"/>
        </w:rPr>
        <w:t>Skład sądu</w:t>
      </w:r>
    </w:p>
    <w:p w14:paraId="4B2F3EA2" w14:textId="77777777" w:rsidR="00754117" w:rsidRPr="00754117" w:rsidRDefault="00754117" w:rsidP="00754117">
      <w:pPr>
        <w:shd w:val="clear" w:color="auto" w:fill="FFFFFF"/>
        <w:spacing w:after="0"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lastRenderedPageBreak/>
        <w:t xml:space="preserve">SSN Jolanta </w:t>
      </w:r>
      <w:proofErr w:type="spellStart"/>
      <w:r w:rsidRPr="00754117">
        <w:rPr>
          <w:rFonts w:ascii="Arial" w:eastAsia="Times New Roman" w:hAnsi="Arial" w:cs="Arial"/>
          <w:color w:val="000000"/>
          <w:sz w:val="23"/>
          <w:szCs w:val="23"/>
          <w:lang w:eastAsia="pl-PL"/>
        </w:rPr>
        <w:t>Frańczak</w:t>
      </w:r>
      <w:proofErr w:type="spellEnd"/>
      <w:r w:rsidRPr="00754117">
        <w:rPr>
          <w:rFonts w:ascii="Arial" w:eastAsia="Times New Roman" w:hAnsi="Arial" w:cs="Arial"/>
          <w:color w:val="000000"/>
          <w:sz w:val="23"/>
          <w:szCs w:val="23"/>
          <w:lang w:eastAsia="pl-PL"/>
        </w:rPr>
        <w:t xml:space="preserve"> (przewodniczący)</w:t>
      </w:r>
      <w:r w:rsidRPr="00754117">
        <w:rPr>
          <w:rFonts w:ascii="Arial" w:eastAsia="Times New Roman" w:hAnsi="Arial" w:cs="Arial"/>
          <w:color w:val="000000"/>
          <w:sz w:val="23"/>
          <w:szCs w:val="23"/>
          <w:lang w:eastAsia="pl-PL"/>
        </w:rPr>
        <w:br/>
        <w:t>SSN Bohdan Bieniek (sprawozdawca)</w:t>
      </w:r>
      <w:r w:rsidRPr="00754117">
        <w:rPr>
          <w:rFonts w:ascii="Arial" w:eastAsia="Times New Roman" w:hAnsi="Arial" w:cs="Arial"/>
          <w:color w:val="000000"/>
          <w:sz w:val="23"/>
          <w:szCs w:val="23"/>
          <w:lang w:eastAsia="pl-PL"/>
        </w:rPr>
        <w:br/>
        <w:t xml:space="preserve">SSN Dawid </w:t>
      </w:r>
      <w:proofErr w:type="spellStart"/>
      <w:r w:rsidRPr="00754117">
        <w:rPr>
          <w:rFonts w:ascii="Arial" w:eastAsia="Times New Roman" w:hAnsi="Arial" w:cs="Arial"/>
          <w:color w:val="000000"/>
          <w:sz w:val="23"/>
          <w:szCs w:val="23"/>
          <w:lang w:eastAsia="pl-PL"/>
        </w:rPr>
        <w:t>Miąsik</w:t>
      </w:r>
      <w:proofErr w:type="spellEnd"/>
    </w:p>
    <w:p w14:paraId="6E82A916" w14:textId="77777777" w:rsidR="00754117" w:rsidRPr="00754117" w:rsidRDefault="00754117" w:rsidP="00754117">
      <w:pPr>
        <w:shd w:val="clear" w:color="auto" w:fill="FFFFFF"/>
        <w:spacing w:before="240" w:after="144" w:line="240" w:lineRule="auto"/>
        <w:outlineLvl w:val="2"/>
        <w:rPr>
          <w:rFonts w:ascii="Arial" w:eastAsia="Times New Roman" w:hAnsi="Arial" w:cs="Arial"/>
          <w:color w:val="000000"/>
          <w:sz w:val="27"/>
          <w:szCs w:val="27"/>
          <w:lang w:eastAsia="pl-PL"/>
        </w:rPr>
      </w:pPr>
      <w:r w:rsidRPr="00754117">
        <w:rPr>
          <w:rFonts w:ascii="Arial" w:eastAsia="Times New Roman" w:hAnsi="Arial" w:cs="Arial"/>
          <w:color w:val="000000"/>
          <w:sz w:val="27"/>
          <w:szCs w:val="27"/>
          <w:lang w:eastAsia="pl-PL"/>
        </w:rPr>
        <w:t>Sentencja</w:t>
      </w:r>
    </w:p>
    <w:p w14:paraId="259DA1D6"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Sąd Najwyższy w sprawie z powództwa B. S. przeciwko Zespołowi Szkolno-Przedszkolnemu w D. o zadośćuczynienie w związku z mobbingiem, po rozpoznaniu na posiedzeniu niejawnym w Izbie Pracy i Ubezpieczeń Społecznych w dniu 13 lutego 2024 r., skargi kasacyjnej powódki od wyroku Sądu Okręgowego w Słupsku z dnia 21 maja 2021 r., sygn. akt V Pa 15/19,</w:t>
      </w:r>
    </w:p>
    <w:p w14:paraId="2B565780" w14:textId="77777777" w:rsidR="00754117" w:rsidRPr="00754117" w:rsidRDefault="00754117" w:rsidP="00754117">
      <w:pPr>
        <w:shd w:val="clear" w:color="auto" w:fill="FFFFFF"/>
        <w:spacing w:after="0"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1. oddala skargę kasacyjną,</w:t>
      </w:r>
    </w:p>
    <w:p w14:paraId="2A678B4A" w14:textId="77777777" w:rsidR="00754117" w:rsidRPr="00754117" w:rsidRDefault="00754117" w:rsidP="00754117">
      <w:pPr>
        <w:shd w:val="clear" w:color="auto" w:fill="FFFFFF"/>
        <w:spacing w:after="0"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2. nie obciąża powódki kosztami zastępstwa procesowego strony pozwanej w postępowaniu kasacyjnym.</w:t>
      </w:r>
    </w:p>
    <w:p w14:paraId="61575BCA" w14:textId="77777777" w:rsidR="00754117" w:rsidRPr="00754117" w:rsidRDefault="00754117" w:rsidP="00754117">
      <w:pPr>
        <w:shd w:val="clear" w:color="auto" w:fill="FFFFFF"/>
        <w:spacing w:before="240" w:after="144" w:line="240" w:lineRule="auto"/>
        <w:outlineLvl w:val="2"/>
        <w:rPr>
          <w:rFonts w:ascii="Arial" w:eastAsia="Times New Roman" w:hAnsi="Arial" w:cs="Arial"/>
          <w:color w:val="000000"/>
          <w:sz w:val="27"/>
          <w:szCs w:val="27"/>
          <w:lang w:eastAsia="pl-PL"/>
        </w:rPr>
      </w:pPr>
      <w:r w:rsidRPr="00754117">
        <w:rPr>
          <w:rFonts w:ascii="Arial" w:eastAsia="Times New Roman" w:hAnsi="Arial" w:cs="Arial"/>
          <w:color w:val="000000"/>
          <w:sz w:val="27"/>
          <w:szCs w:val="27"/>
          <w:lang w:eastAsia="pl-PL"/>
        </w:rPr>
        <w:t>Uzasadnienie</w:t>
      </w:r>
    </w:p>
    <w:p w14:paraId="6F694047"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Sąd Rejonowy w Słupsku, wyrokiem z dnia 8 listopada 2018 r., oddalił powództwo B. T. przeciwko Zespołowi Szkolno-Przedszkolnemu w D. o zadośćuczynienie związane z mobbingiem.</w:t>
      </w:r>
    </w:p>
    <w:p w14:paraId="33D3D336"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Ze sprawy wynika, że powódka jest nauczycielką matematyki, a w okresie od 1 września 2009 r. do 31 sierpnia 2014 r. pełniła funkcję dyrektora w pozwanym Zespole Szkolno-Przedszkolnym</w:t>
      </w:r>
      <w:r w:rsidRPr="00754117">
        <w:rPr>
          <w:rFonts w:ascii="Arial" w:eastAsia="Times New Roman" w:hAnsi="Arial" w:cs="Arial"/>
          <w:color w:val="000000"/>
          <w:sz w:val="23"/>
          <w:szCs w:val="23"/>
          <w:highlight w:val="yellow"/>
          <w:lang w:eastAsia="pl-PL"/>
        </w:rPr>
        <w:t>. Powódka wskazywała, że czasie pełnienia funkcji dyrektora placówki, jak i po zakończeniu kadencji, doznawała działań i zachowań ze strony współpracowników oraz podległego jej personelu i obecnej dyrektor, stanowiących działania i zachowania o charakterze mobbingowym.</w:t>
      </w:r>
    </w:p>
    <w:p w14:paraId="605A9C5A"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W konsekwencji naruszenia dóbr osobistych powódki, Sąd Okręgowy w Słupsku wyrokiem z dnia 2 lutego 2015 r. nakazał pozwanej E. J. opublikowanie w dzienniku „(...)” w wydaniu sobotnio - niedzielnym pomiędzy stroną 2 a 6 oświadczenia następującej treści „(...)” oraz zamieszczenie na okres 7 dni na stronie głównej serwisu (...) odnośnika w formie ramki, zawierającego oświadczenie o treści „(...)”. W uzasadnieniu orzeczenia Sąd Okręgowy uznał, że przeprowadzone postępowanie dowodowe potwierdziło ponad wszelką wątpliwość, że w szkole, </w:t>
      </w:r>
      <w:r w:rsidRPr="00754117">
        <w:rPr>
          <w:rFonts w:ascii="Arial" w:eastAsia="Times New Roman" w:hAnsi="Arial" w:cs="Arial"/>
          <w:color w:val="000000"/>
          <w:sz w:val="23"/>
          <w:szCs w:val="23"/>
          <w:highlight w:val="yellow"/>
          <w:lang w:eastAsia="pl-PL"/>
        </w:rPr>
        <w:t>w której dyrektorem była powódka, w okresie od 1 września 2009 r. do 31 sierpnia 2014 r., istniał poważny konflikt oraz że niejednokrotnie zachowanie powódki wobec pracowników szkoły było nietaktowne, obraźliwe, autorytarne, a tym samym zarzuty stawiane jej, dotyczące poniżania pracowników, były zasadne. Brak było natomiast dowodów, aby działania powódki wobec pracowników szkoły nosiły znamiona mobbingu i miały na celu niszczenie i nękanie pracowników.</w:t>
      </w:r>
    </w:p>
    <w:p w14:paraId="0F2D0B74"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lastRenderedPageBreak/>
        <w:t>Z dalszych ustaleń Sądu Rejonowego wynika, że w czasie, w którym powódka pełniła funkcję dyrektora placówki</w:t>
      </w:r>
      <w:r w:rsidRPr="00754117">
        <w:rPr>
          <w:rFonts w:ascii="Arial" w:eastAsia="Times New Roman" w:hAnsi="Arial" w:cs="Arial"/>
          <w:color w:val="000000"/>
          <w:sz w:val="23"/>
          <w:szCs w:val="23"/>
          <w:highlight w:val="yellow"/>
          <w:lang w:eastAsia="pl-PL"/>
        </w:rPr>
        <w:t>, kilkoro nauczycieli przejawiało swoją niesubordynację wobec niej w postaci niewykonywania poleceń oraz niewykazywania chęci uczestnictwa w akcjach i wydarzeniach ogólnoszkolnych. Ponadto byli oni autorami różnego rodzaju skarg i pomówień. Nauczycieli pozostających w opozycji do powódki było 5 lub 6.</w:t>
      </w:r>
    </w:p>
    <w:p w14:paraId="4E1D240D"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W ocenie Sądu pierwszej instancji zachowania, które powódka przedstawiła </w:t>
      </w:r>
      <w:r w:rsidRPr="00754117">
        <w:rPr>
          <w:rFonts w:ascii="Arial" w:eastAsia="Times New Roman" w:hAnsi="Arial" w:cs="Arial"/>
          <w:color w:val="000000"/>
          <w:sz w:val="23"/>
          <w:szCs w:val="23"/>
          <w:highlight w:val="yellow"/>
          <w:lang w:eastAsia="pl-PL"/>
        </w:rPr>
        <w:t>nie były przejawem mobbingu (art. 94</w:t>
      </w:r>
      <w:r w:rsidRPr="00754117">
        <w:rPr>
          <w:rFonts w:ascii="Arial" w:eastAsia="Times New Roman" w:hAnsi="Arial" w:cs="Arial"/>
          <w:color w:val="000000"/>
          <w:sz w:val="17"/>
          <w:szCs w:val="17"/>
          <w:highlight w:val="yellow"/>
          <w:vertAlign w:val="superscript"/>
          <w:lang w:eastAsia="pl-PL"/>
        </w:rPr>
        <w:t>3</w:t>
      </w:r>
      <w:r w:rsidRPr="00754117">
        <w:rPr>
          <w:rFonts w:ascii="Arial" w:eastAsia="Times New Roman" w:hAnsi="Arial" w:cs="Arial"/>
          <w:color w:val="000000"/>
          <w:sz w:val="23"/>
          <w:szCs w:val="23"/>
          <w:highlight w:val="yellow"/>
          <w:lang w:eastAsia="pl-PL"/>
        </w:rPr>
        <w:t xml:space="preserve"> § 2 </w:t>
      </w:r>
      <w:proofErr w:type="spellStart"/>
      <w:r w:rsidRPr="00754117">
        <w:rPr>
          <w:rFonts w:ascii="Arial" w:eastAsia="Times New Roman" w:hAnsi="Arial" w:cs="Arial"/>
          <w:color w:val="000000"/>
          <w:sz w:val="23"/>
          <w:szCs w:val="23"/>
          <w:highlight w:val="yellow"/>
          <w:lang w:eastAsia="pl-PL"/>
        </w:rPr>
        <w:t>k.p</w:t>
      </w:r>
      <w:proofErr w:type="spellEnd"/>
      <w:r w:rsidRPr="00754117">
        <w:rPr>
          <w:rFonts w:ascii="Arial" w:eastAsia="Times New Roman" w:hAnsi="Arial" w:cs="Arial"/>
          <w:color w:val="000000"/>
          <w:sz w:val="23"/>
          <w:szCs w:val="23"/>
          <w:lang w:eastAsia="pl-PL"/>
        </w:rPr>
        <w:t xml:space="preserve">). Zachowanie, które może być uznane za mobbing musi być uporczywe w działaniu i długotrwałe. Nie może to być działanie jednorazowe, lecz musi być rozciągnięte w czasie. Po drugie, działanie takie musi być ukierunkowane i kwalifikowane swoim celem. Natomiast </w:t>
      </w:r>
      <w:r w:rsidRPr="00754117">
        <w:rPr>
          <w:rFonts w:ascii="Arial" w:eastAsia="Times New Roman" w:hAnsi="Arial" w:cs="Arial"/>
          <w:color w:val="000000"/>
          <w:sz w:val="23"/>
          <w:szCs w:val="23"/>
          <w:highlight w:val="yellow"/>
          <w:lang w:eastAsia="pl-PL"/>
        </w:rPr>
        <w:t>indywidualne, subiektywne przekonanie pracownika o krzywdzeniu (nękaniu, zastraszaniu) nie może decydować o ocenie dokonywanej przez Sąd.</w:t>
      </w:r>
    </w:p>
    <w:p w14:paraId="4EFCE86E"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Sąd pierwszej instancji stwierdził, że w okresie, w którym powódka pełniła funkcję dyrektora gimnazjum, to na niej spoczywał obowiązek zagwarantowania prawidłowego funkcjonowania placówki edukacyjnej, w szczególności dbania o ład, porządek, dyscyplinę, w tym także pośród kadry, czyli grona pedagogicznego. </w:t>
      </w:r>
      <w:r w:rsidRPr="00754117">
        <w:rPr>
          <w:rFonts w:ascii="Arial" w:eastAsia="Times New Roman" w:hAnsi="Arial" w:cs="Arial"/>
          <w:color w:val="000000"/>
          <w:sz w:val="23"/>
          <w:szCs w:val="23"/>
          <w:highlight w:val="yellow"/>
          <w:lang w:eastAsia="pl-PL"/>
        </w:rPr>
        <w:t>Nie sposób zatem uznać, że wskazane przez powódkę zachowania nauczycieli i wywołane nimi zdarzenia mogły zostać uznane za działania mobbingujące powódkę, skoro to ona sprawowała najwyższą funkcję w szkole i działalność placówki zależała wyłącznie od niej. Na</w:t>
      </w:r>
      <w:r w:rsidRPr="00754117">
        <w:rPr>
          <w:rFonts w:ascii="Arial" w:eastAsia="Times New Roman" w:hAnsi="Arial" w:cs="Arial"/>
          <w:color w:val="000000"/>
          <w:sz w:val="23"/>
          <w:szCs w:val="23"/>
          <w:lang w:eastAsia="pl-PL"/>
        </w:rPr>
        <w:t xml:space="preserve"> </w:t>
      </w:r>
      <w:r w:rsidRPr="00754117">
        <w:rPr>
          <w:rFonts w:ascii="Arial" w:eastAsia="Times New Roman" w:hAnsi="Arial" w:cs="Arial"/>
          <w:color w:val="000000"/>
          <w:sz w:val="23"/>
          <w:szCs w:val="23"/>
          <w:highlight w:val="yellow"/>
          <w:lang w:eastAsia="pl-PL"/>
        </w:rPr>
        <w:t>powódce spoczywał obowiązek przeciwdziałania takim zachowaniom podwładnych (zastraszanie, nękanie, ośmieszanie wykluczanie), a także dbałość o ład i porządek w placówce, poprawną atmosferę i dyscyplinowanie kadry.</w:t>
      </w:r>
      <w:r w:rsidRPr="00754117">
        <w:rPr>
          <w:rFonts w:ascii="Arial" w:eastAsia="Times New Roman" w:hAnsi="Arial" w:cs="Arial"/>
          <w:color w:val="000000"/>
          <w:sz w:val="23"/>
          <w:szCs w:val="23"/>
          <w:lang w:eastAsia="pl-PL"/>
        </w:rPr>
        <w:t xml:space="preserve"> W końcowej ocenie Sąd Rejonowy przyjął, że postępowanie dowodowe przeprowadzone w tej sprawie nie potwierdziło, by pozwany pracodawca dopuszczał się mobbingu względem powódki. Z tego też powodu Sąd ten oddalił wniosek o przeprowadzenie dowodu z opinii biegłego z zakresu medycyny, wskazując, że przeprowadzenie tego wniosku byłoby bezcelowe.</w:t>
      </w:r>
    </w:p>
    <w:p w14:paraId="576D9867"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Sąd Okręgowy w Słupsku, wyrokiem z dnia 21 maja 2021 r., oddalił apelację powódki.</w:t>
      </w:r>
    </w:p>
    <w:p w14:paraId="227C9C75"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Sąd odwoławczy uzupełnił postępowanie dowodowe o analizę dowodów z dokumentów akt sprawy I C 92/14 oraz przesłuchanie świadków M. K. i </w:t>
      </w:r>
      <w:proofErr w:type="spellStart"/>
      <w:r w:rsidRPr="00754117">
        <w:rPr>
          <w:rFonts w:ascii="Arial" w:eastAsia="Times New Roman" w:hAnsi="Arial" w:cs="Arial"/>
          <w:color w:val="000000"/>
          <w:sz w:val="23"/>
          <w:szCs w:val="23"/>
          <w:lang w:eastAsia="pl-PL"/>
        </w:rPr>
        <w:t>I</w:t>
      </w:r>
      <w:proofErr w:type="spellEnd"/>
      <w:r w:rsidRPr="00754117">
        <w:rPr>
          <w:rFonts w:ascii="Arial" w:eastAsia="Times New Roman" w:hAnsi="Arial" w:cs="Arial"/>
          <w:color w:val="000000"/>
          <w:sz w:val="23"/>
          <w:szCs w:val="23"/>
          <w:lang w:eastAsia="pl-PL"/>
        </w:rPr>
        <w:t>. K.. Tym samym Sąd Okręgowy wskazał, że powszechnie obowiązujące przepisy nie przewidują sankcjonowania mobbingu skierowanego przeciwko pracodawcy, a ściślej przeciwko osobie zarządzającej zakładem pracy w imieniu pracodawcy, a większość wskazywanych przez powódkę niepożądanych zachowań miała miejsce w czasie pełnienia przez nią funkcji dyrektora gimnazjum. Jednocześnie Sąd ten przyznał, że choć mobbing wobec przedstawiciela pracodawcy istnieje i posiada swoją nazwę ”</w:t>
      </w:r>
      <w:proofErr w:type="spellStart"/>
      <w:r w:rsidRPr="00754117">
        <w:rPr>
          <w:rFonts w:ascii="Arial" w:eastAsia="Times New Roman" w:hAnsi="Arial" w:cs="Arial"/>
          <w:color w:val="000000"/>
          <w:sz w:val="23"/>
          <w:szCs w:val="23"/>
          <w:lang w:eastAsia="pl-PL"/>
        </w:rPr>
        <w:t>staffing</w:t>
      </w:r>
      <w:proofErr w:type="spellEnd"/>
      <w:r w:rsidRPr="00754117">
        <w:rPr>
          <w:rFonts w:ascii="Arial" w:eastAsia="Times New Roman" w:hAnsi="Arial" w:cs="Arial"/>
          <w:color w:val="000000"/>
          <w:sz w:val="23"/>
          <w:szCs w:val="23"/>
          <w:lang w:eastAsia="pl-PL"/>
        </w:rPr>
        <w:t xml:space="preserve">”, czyli tzw. mobbing pionowy, to </w:t>
      </w:r>
      <w:r w:rsidRPr="00754117">
        <w:rPr>
          <w:rFonts w:ascii="Arial" w:eastAsia="Times New Roman" w:hAnsi="Arial" w:cs="Arial"/>
          <w:color w:val="000000"/>
          <w:sz w:val="23"/>
          <w:szCs w:val="23"/>
          <w:highlight w:val="yellow"/>
          <w:lang w:eastAsia="pl-PL"/>
        </w:rPr>
        <w:t xml:space="preserve">w dyspozycji pracodawcy są inne instrumenty obrony przed niepożądanym zachowaniem pracowników, inne niż mobbing skierowany </w:t>
      </w:r>
      <w:r w:rsidRPr="00754117">
        <w:rPr>
          <w:rFonts w:ascii="Arial" w:eastAsia="Times New Roman" w:hAnsi="Arial" w:cs="Arial"/>
          <w:color w:val="000000"/>
          <w:sz w:val="23"/>
          <w:szCs w:val="23"/>
          <w:highlight w:val="yellow"/>
          <w:lang w:eastAsia="pl-PL"/>
        </w:rPr>
        <w:lastRenderedPageBreak/>
        <w:t>przeciwko pracownikowi. Sąd wskazał na możliwość rozwiązania z pracownikiem umowy o pracę za wypowiedzeniem bądź rozwiązanie tej umowy bez wypowiedzenia z winy podwładnego. Ponadto przełożony może zastosować wobec takiego pracownika kary porządkowe, o których mowa w </w:t>
      </w:r>
      <w:hyperlink r:id="rId6" w:history="1">
        <w:r w:rsidRPr="00754117">
          <w:rPr>
            <w:rFonts w:ascii="Arial" w:eastAsia="Times New Roman" w:hAnsi="Arial" w:cs="Arial"/>
            <w:color w:val="CC0000"/>
            <w:sz w:val="23"/>
            <w:szCs w:val="23"/>
            <w:highlight w:val="yellow"/>
            <w:u w:val="single"/>
            <w:lang w:eastAsia="pl-PL"/>
          </w:rPr>
          <w:t>art. 108 -112</w:t>
        </w:r>
      </w:hyperlink>
      <w:r w:rsidRPr="00754117">
        <w:rPr>
          <w:rFonts w:ascii="Arial" w:eastAsia="Times New Roman" w:hAnsi="Arial" w:cs="Arial"/>
          <w:color w:val="000000"/>
          <w:sz w:val="23"/>
          <w:szCs w:val="23"/>
          <w:highlight w:val="yellow"/>
          <w:lang w:eastAsia="pl-PL"/>
        </w:rPr>
        <w:t> KP. Dodatkowym instrumentem czy odpowiedzią na proceder „</w:t>
      </w:r>
      <w:proofErr w:type="spellStart"/>
      <w:r w:rsidRPr="00754117">
        <w:rPr>
          <w:rFonts w:ascii="Arial" w:eastAsia="Times New Roman" w:hAnsi="Arial" w:cs="Arial"/>
          <w:color w:val="000000"/>
          <w:sz w:val="23"/>
          <w:szCs w:val="23"/>
          <w:highlight w:val="yellow"/>
          <w:lang w:eastAsia="pl-PL"/>
        </w:rPr>
        <w:t>staffingu</w:t>
      </w:r>
      <w:proofErr w:type="spellEnd"/>
      <w:r w:rsidRPr="00754117">
        <w:rPr>
          <w:rFonts w:ascii="Arial" w:eastAsia="Times New Roman" w:hAnsi="Arial" w:cs="Arial"/>
          <w:color w:val="000000"/>
          <w:sz w:val="23"/>
          <w:szCs w:val="23"/>
          <w:highlight w:val="yellow"/>
          <w:lang w:eastAsia="pl-PL"/>
        </w:rPr>
        <w:t>”, w ocenie Sądu odwoławczego, jest wniesienie przez pracodawcę-przełożonego powództwa cywilnego o naruszenie dóbr osobistych przeciwko bezpośredniemu sprawcy niepożądanych zachowań.</w:t>
      </w:r>
    </w:p>
    <w:p w14:paraId="218B03B5"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Sąd odwoławczy wskazał, że powódka mimo wskazywania niepożądanych zachowań podległych jej pracowników </w:t>
      </w:r>
      <w:r w:rsidRPr="000A54ED">
        <w:rPr>
          <w:rFonts w:ascii="Arial" w:eastAsia="Times New Roman" w:hAnsi="Arial" w:cs="Arial"/>
          <w:color w:val="000000"/>
          <w:sz w:val="23"/>
          <w:szCs w:val="23"/>
          <w:highlight w:val="yellow"/>
          <w:lang w:eastAsia="pl-PL"/>
        </w:rPr>
        <w:t>nie skorzystała z żadnych rozwiązań prawnych</w:t>
      </w:r>
      <w:r w:rsidRPr="00754117">
        <w:rPr>
          <w:rFonts w:ascii="Arial" w:eastAsia="Times New Roman" w:hAnsi="Arial" w:cs="Arial"/>
          <w:color w:val="000000"/>
          <w:sz w:val="23"/>
          <w:szCs w:val="23"/>
          <w:lang w:eastAsia="pl-PL"/>
        </w:rPr>
        <w:t xml:space="preserve">, w tym związanych z dyscyplinowaniem pracowników odmawiających wykonania powierzonych im zadań lub zaniedbujących swoje obowiązki. </w:t>
      </w:r>
      <w:r w:rsidRPr="000A54ED">
        <w:rPr>
          <w:rFonts w:ascii="Arial" w:eastAsia="Times New Roman" w:hAnsi="Arial" w:cs="Arial"/>
          <w:color w:val="000000"/>
          <w:sz w:val="23"/>
          <w:szCs w:val="23"/>
          <w:highlight w:val="yellow"/>
          <w:lang w:eastAsia="pl-PL"/>
        </w:rPr>
        <w:t>Tylko raz, w stosunku do nauczyciela, który bez usprawiedliwienia opuścił radę pedagogiczną, zastosowała sankcje dyscyplinarne przewidziane w regulaminie, kodeksie pracy i Karcie Nauczyciela.</w:t>
      </w:r>
      <w:r w:rsidRPr="00754117">
        <w:rPr>
          <w:rFonts w:ascii="Arial" w:eastAsia="Times New Roman" w:hAnsi="Arial" w:cs="Arial"/>
          <w:color w:val="000000"/>
          <w:sz w:val="23"/>
          <w:szCs w:val="23"/>
          <w:lang w:eastAsia="pl-PL"/>
        </w:rPr>
        <w:t xml:space="preserve"> Natomiast mimo lekceważenia przez innych nauczycieli powierzonych im zadań ni</w:t>
      </w:r>
      <w:r w:rsidRPr="000A54ED">
        <w:rPr>
          <w:rFonts w:ascii="Arial" w:eastAsia="Times New Roman" w:hAnsi="Arial" w:cs="Arial"/>
          <w:color w:val="000000"/>
          <w:sz w:val="23"/>
          <w:szCs w:val="23"/>
          <w:highlight w:val="yellow"/>
          <w:lang w:eastAsia="pl-PL"/>
        </w:rPr>
        <w:t>e</w:t>
      </w:r>
      <w:r w:rsidRPr="00754117">
        <w:rPr>
          <w:rFonts w:ascii="Arial" w:eastAsia="Times New Roman" w:hAnsi="Arial" w:cs="Arial"/>
          <w:color w:val="000000"/>
          <w:sz w:val="23"/>
          <w:szCs w:val="23"/>
          <w:lang w:eastAsia="pl-PL"/>
        </w:rPr>
        <w:t xml:space="preserve"> </w:t>
      </w:r>
      <w:r w:rsidRPr="000A54ED">
        <w:rPr>
          <w:rFonts w:ascii="Arial" w:eastAsia="Times New Roman" w:hAnsi="Arial" w:cs="Arial"/>
          <w:color w:val="000000"/>
          <w:sz w:val="23"/>
          <w:szCs w:val="23"/>
          <w:highlight w:val="yellow"/>
          <w:lang w:eastAsia="pl-PL"/>
        </w:rPr>
        <w:t>wyciągnęła takich konsekwencji</w:t>
      </w:r>
      <w:r w:rsidRPr="00754117">
        <w:rPr>
          <w:rFonts w:ascii="Arial" w:eastAsia="Times New Roman" w:hAnsi="Arial" w:cs="Arial"/>
          <w:color w:val="000000"/>
          <w:sz w:val="23"/>
          <w:szCs w:val="23"/>
          <w:lang w:eastAsia="pl-PL"/>
        </w:rPr>
        <w:t xml:space="preserve">. Nie wystąpiła również przeciwko innym nauczycielom, zawiadamiającym organy o rzekomych nieprawidłowościach i naruszających jej dobra osobiste i dobre imię, z powództwem cywilnym. Sąd ten również uznał, że na powódce jako pracodawcy </w:t>
      </w:r>
      <w:r w:rsidRPr="000A54ED">
        <w:rPr>
          <w:rFonts w:ascii="Arial" w:eastAsia="Times New Roman" w:hAnsi="Arial" w:cs="Arial"/>
          <w:color w:val="000000"/>
          <w:sz w:val="23"/>
          <w:szCs w:val="23"/>
          <w:highlight w:val="yellow"/>
          <w:lang w:eastAsia="pl-PL"/>
        </w:rPr>
        <w:t>ciążył obowiązek nadzoru</w:t>
      </w:r>
      <w:r w:rsidRPr="00754117">
        <w:rPr>
          <w:rFonts w:ascii="Arial" w:eastAsia="Times New Roman" w:hAnsi="Arial" w:cs="Arial"/>
          <w:color w:val="000000"/>
          <w:sz w:val="23"/>
          <w:szCs w:val="23"/>
          <w:lang w:eastAsia="pl-PL"/>
        </w:rPr>
        <w:t xml:space="preserve"> procesu świadczenia pracy, tak aby przebiegał on w sposób zgodny z obowiązującymi regułami prawnymi oraz zasadami współżycia społecznego. Tym samym powódka </w:t>
      </w:r>
      <w:r w:rsidRPr="000A54ED">
        <w:rPr>
          <w:rFonts w:ascii="Arial" w:eastAsia="Times New Roman" w:hAnsi="Arial" w:cs="Arial"/>
          <w:color w:val="000000"/>
          <w:sz w:val="23"/>
          <w:szCs w:val="23"/>
          <w:highlight w:val="yellow"/>
          <w:lang w:eastAsia="pl-PL"/>
        </w:rPr>
        <w:t>nie tylko miała możliwość, ale i obowiązek wyciągania konsekwencji wobec pracowników niesubordynowanych</w:t>
      </w:r>
      <w:r w:rsidRPr="00754117">
        <w:rPr>
          <w:rFonts w:ascii="Arial" w:eastAsia="Times New Roman" w:hAnsi="Arial" w:cs="Arial"/>
          <w:color w:val="000000"/>
          <w:sz w:val="23"/>
          <w:szCs w:val="23"/>
          <w:lang w:eastAsia="pl-PL"/>
        </w:rPr>
        <w:t>, naruszających obowiązujące przepisy i zasady współżycia społecznego.</w:t>
      </w:r>
    </w:p>
    <w:p w14:paraId="6D19EA01"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Odnosząc się do okresu po upływie kadencji pełnienia przez powódkę funkcji dyrektora szkoły, Sąd Okręgowy podzielił stanowisko Sądu Rejonowego i uznał, że nowemu dyrektorowi szkoły trudno przypisać zachowania będące mobbingiem. Mobbingu nie stanowiło </w:t>
      </w:r>
      <w:r w:rsidRPr="00C00DB9">
        <w:rPr>
          <w:rFonts w:ascii="Arial" w:eastAsia="Times New Roman" w:hAnsi="Arial" w:cs="Arial"/>
          <w:color w:val="000000"/>
          <w:sz w:val="23"/>
          <w:szCs w:val="23"/>
          <w:highlight w:val="yellow"/>
          <w:lang w:eastAsia="pl-PL"/>
        </w:rPr>
        <w:t>nieprzydzielania powódce wychowawstw,</w:t>
      </w:r>
      <w:r w:rsidRPr="00754117">
        <w:rPr>
          <w:rFonts w:ascii="Arial" w:eastAsia="Times New Roman" w:hAnsi="Arial" w:cs="Arial"/>
          <w:color w:val="000000"/>
          <w:sz w:val="23"/>
          <w:szCs w:val="23"/>
          <w:lang w:eastAsia="pl-PL"/>
        </w:rPr>
        <w:t xml:space="preserve"> </w:t>
      </w:r>
      <w:r w:rsidRPr="00C00DB9">
        <w:rPr>
          <w:rFonts w:ascii="Arial" w:eastAsia="Times New Roman" w:hAnsi="Arial" w:cs="Arial"/>
          <w:color w:val="000000"/>
          <w:sz w:val="23"/>
          <w:szCs w:val="23"/>
          <w:highlight w:val="yellow"/>
          <w:lang w:eastAsia="pl-PL"/>
        </w:rPr>
        <w:t>godzin ponadwymiarowych i doraźnych zastępstw</w:t>
      </w:r>
      <w:r w:rsidRPr="00754117">
        <w:rPr>
          <w:rFonts w:ascii="Arial" w:eastAsia="Times New Roman" w:hAnsi="Arial" w:cs="Arial"/>
          <w:color w:val="000000"/>
          <w:sz w:val="23"/>
          <w:szCs w:val="23"/>
          <w:lang w:eastAsia="pl-PL"/>
        </w:rPr>
        <w:t xml:space="preserve"> czy przyznawanie dodatku motywacyjnego w skrajnie niskich wartościach. Dalej Sąd uznał, że </w:t>
      </w:r>
      <w:r w:rsidRPr="00C00DB9">
        <w:rPr>
          <w:rFonts w:ascii="Arial" w:eastAsia="Times New Roman" w:hAnsi="Arial" w:cs="Arial"/>
          <w:color w:val="000000"/>
          <w:sz w:val="23"/>
          <w:szCs w:val="23"/>
          <w:highlight w:val="yellow"/>
          <w:lang w:eastAsia="pl-PL"/>
        </w:rPr>
        <w:t>negatywnie oceniane zdarzenie do jakiego doszło podczas uroczystości z okazji 15-lecia powstania</w:t>
      </w:r>
      <w:r w:rsidRPr="00754117">
        <w:rPr>
          <w:rFonts w:ascii="Arial" w:eastAsia="Times New Roman" w:hAnsi="Arial" w:cs="Arial"/>
          <w:color w:val="000000"/>
          <w:sz w:val="23"/>
          <w:szCs w:val="23"/>
          <w:lang w:eastAsia="pl-PL"/>
        </w:rPr>
        <w:t xml:space="preserve"> </w:t>
      </w:r>
      <w:r w:rsidRPr="00C00DB9">
        <w:rPr>
          <w:rFonts w:ascii="Arial" w:eastAsia="Times New Roman" w:hAnsi="Arial" w:cs="Arial"/>
          <w:color w:val="000000"/>
          <w:sz w:val="23"/>
          <w:szCs w:val="23"/>
          <w:highlight w:val="yellow"/>
          <w:lang w:eastAsia="pl-PL"/>
        </w:rPr>
        <w:t>gimnazjum, gdzie nie wyczytano nazwiska powódki podczas przedstawiania wszystkich dyrektorów szkoły, nie stanowiło przejawu mobbingu, ponieważ było to działanie incydentalne. J</w:t>
      </w:r>
      <w:bookmarkStart w:id="0" w:name="_GoBack"/>
      <w:bookmarkEnd w:id="0"/>
      <w:r w:rsidRPr="00754117">
        <w:rPr>
          <w:rFonts w:ascii="Arial" w:eastAsia="Times New Roman" w:hAnsi="Arial" w:cs="Arial"/>
          <w:color w:val="000000"/>
          <w:sz w:val="23"/>
          <w:szCs w:val="23"/>
          <w:lang w:eastAsia="pl-PL"/>
        </w:rPr>
        <w:t>ednorazowe zdarzenie nie stanowi zaś mobbingu.</w:t>
      </w:r>
    </w:p>
    <w:p w14:paraId="16330B7F"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Ostatecznie, odwołując się do </w:t>
      </w:r>
      <w:hyperlink r:id="rId7"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1-3</w:t>
        </w:r>
      </w:hyperlink>
      <w:r w:rsidRPr="00754117">
        <w:rPr>
          <w:rFonts w:ascii="Arial" w:eastAsia="Times New Roman" w:hAnsi="Arial" w:cs="Arial"/>
          <w:color w:val="000000"/>
          <w:sz w:val="23"/>
          <w:szCs w:val="23"/>
          <w:lang w:eastAsia="pl-PL"/>
        </w:rPr>
        <w:t xml:space="preserve"> KP, Sąd Okręgowy przyjął, że wobec powódki nie stosowano mobbingu, a niedopuszczenie przez Sąd Rejonowy dowodu z opinii biegłego lekarza psychiatry i psychologa dla ustalenia faktu doznania przez powódkę rozstroju zdrowia jako następstwa mobbingu w sytuacji </w:t>
      </w:r>
      <w:r w:rsidRPr="00754117">
        <w:rPr>
          <w:rFonts w:ascii="Arial" w:eastAsia="Times New Roman" w:hAnsi="Arial" w:cs="Arial"/>
          <w:color w:val="000000"/>
          <w:sz w:val="23"/>
          <w:szCs w:val="23"/>
          <w:lang w:eastAsia="pl-PL"/>
        </w:rPr>
        <w:lastRenderedPageBreak/>
        <w:t>nieuprawdopodobnienia zachowań penalizowanych w </w:t>
      </w:r>
      <w:hyperlink r:id="rId8"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2</w:t>
        </w:r>
      </w:hyperlink>
      <w:r w:rsidRPr="00754117">
        <w:rPr>
          <w:rFonts w:ascii="Arial" w:eastAsia="Times New Roman" w:hAnsi="Arial" w:cs="Arial"/>
          <w:color w:val="000000"/>
          <w:sz w:val="23"/>
          <w:szCs w:val="23"/>
          <w:lang w:eastAsia="pl-PL"/>
        </w:rPr>
        <w:t> KP, nie stanowiło jakiegokolwiek naruszenia.</w:t>
      </w:r>
    </w:p>
    <w:p w14:paraId="3F4CC69A"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Mając powyższe na uwadze, Sąd Okręgowy orzekł z mocy </w:t>
      </w:r>
      <w:hyperlink r:id="rId9" w:history="1">
        <w:r w:rsidRPr="00754117">
          <w:rPr>
            <w:rFonts w:ascii="Arial" w:eastAsia="Times New Roman" w:hAnsi="Arial" w:cs="Arial"/>
            <w:color w:val="CC0000"/>
            <w:sz w:val="23"/>
            <w:szCs w:val="23"/>
            <w:u w:val="single"/>
            <w:lang w:eastAsia="pl-PL"/>
          </w:rPr>
          <w:t>art. 385</w:t>
        </w:r>
      </w:hyperlink>
      <w:r w:rsidRPr="00754117">
        <w:rPr>
          <w:rFonts w:ascii="Arial" w:eastAsia="Times New Roman" w:hAnsi="Arial" w:cs="Arial"/>
          <w:color w:val="000000"/>
          <w:sz w:val="23"/>
          <w:szCs w:val="23"/>
          <w:lang w:eastAsia="pl-PL"/>
        </w:rPr>
        <w:t> KPC.</w:t>
      </w:r>
    </w:p>
    <w:p w14:paraId="7F6BD603"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Skargę kasacyjną wywiódł pełnomocnik powódki, zaskarżając wyrok Sądu Okręgowego w całości. W podstawach skargi kasacyjnej wskazał na naruszenie prawa materialnego w postaci: (-) </w:t>
      </w:r>
      <w:hyperlink r:id="rId10"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2</w:t>
        </w:r>
      </w:hyperlink>
      <w:r w:rsidRPr="00754117">
        <w:rPr>
          <w:rFonts w:ascii="Arial" w:eastAsia="Times New Roman" w:hAnsi="Arial" w:cs="Arial"/>
          <w:color w:val="000000"/>
          <w:sz w:val="23"/>
          <w:szCs w:val="23"/>
          <w:lang w:eastAsia="pl-PL"/>
        </w:rPr>
        <w:t> KP w związku z </w:t>
      </w:r>
      <w:hyperlink r:id="rId11" w:history="1">
        <w:r w:rsidRPr="00754117">
          <w:rPr>
            <w:rFonts w:ascii="Arial" w:eastAsia="Times New Roman" w:hAnsi="Arial" w:cs="Arial"/>
            <w:color w:val="CC0000"/>
            <w:sz w:val="23"/>
            <w:szCs w:val="23"/>
            <w:u w:val="single"/>
            <w:lang w:eastAsia="pl-PL"/>
          </w:rPr>
          <w:t>art. 2</w:t>
        </w:r>
      </w:hyperlink>
      <w:r w:rsidRPr="00754117">
        <w:rPr>
          <w:rFonts w:ascii="Arial" w:eastAsia="Times New Roman" w:hAnsi="Arial" w:cs="Arial"/>
          <w:color w:val="000000"/>
          <w:sz w:val="23"/>
          <w:szCs w:val="23"/>
          <w:lang w:eastAsia="pl-PL"/>
        </w:rPr>
        <w:t> KP, </w:t>
      </w:r>
      <w:hyperlink r:id="rId12" w:history="1">
        <w:r w:rsidRPr="00754117">
          <w:rPr>
            <w:rFonts w:ascii="Arial" w:eastAsia="Times New Roman" w:hAnsi="Arial" w:cs="Arial"/>
            <w:color w:val="CC0000"/>
            <w:sz w:val="23"/>
            <w:szCs w:val="23"/>
            <w:u w:val="single"/>
            <w:lang w:eastAsia="pl-PL"/>
          </w:rPr>
          <w:t>art. 91c ust. 1</w:t>
        </w:r>
      </w:hyperlink>
      <w:r w:rsidRPr="00754117">
        <w:rPr>
          <w:rFonts w:ascii="Arial" w:eastAsia="Times New Roman" w:hAnsi="Arial" w:cs="Arial"/>
          <w:color w:val="000000"/>
          <w:sz w:val="23"/>
          <w:szCs w:val="23"/>
          <w:lang w:eastAsia="pl-PL"/>
        </w:rPr>
        <w:t> ustawy z dnia 26 lipca 1982 r. Karta Nauczyciela (t.j. Dz.U. z 2023 r. </w:t>
      </w:r>
      <w:hyperlink r:id="rId13" w:history="1">
        <w:r w:rsidRPr="00754117">
          <w:rPr>
            <w:rFonts w:ascii="Arial" w:eastAsia="Times New Roman" w:hAnsi="Arial" w:cs="Arial"/>
            <w:color w:val="CC0000"/>
            <w:sz w:val="23"/>
            <w:szCs w:val="23"/>
            <w:u w:val="single"/>
            <w:lang w:eastAsia="pl-PL"/>
          </w:rPr>
          <w:t>poz. 984</w:t>
        </w:r>
      </w:hyperlink>
      <w:r w:rsidRPr="00754117">
        <w:rPr>
          <w:rFonts w:ascii="Arial" w:eastAsia="Times New Roman" w:hAnsi="Arial" w:cs="Arial"/>
          <w:color w:val="000000"/>
          <w:sz w:val="23"/>
          <w:szCs w:val="23"/>
          <w:lang w:eastAsia="pl-PL"/>
        </w:rPr>
        <w:t>, dalej KN), </w:t>
      </w:r>
      <w:hyperlink r:id="rId14" w:history="1">
        <w:r w:rsidRPr="00754117">
          <w:rPr>
            <w:rFonts w:ascii="Arial" w:eastAsia="Times New Roman" w:hAnsi="Arial" w:cs="Arial"/>
            <w:color w:val="CC0000"/>
            <w:sz w:val="23"/>
            <w:szCs w:val="23"/>
            <w:u w:val="single"/>
            <w:lang w:eastAsia="pl-PL"/>
          </w:rPr>
          <w:t>art. 5 ust. 7 pkt 5</w:t>
        </w:r>
      </w:hyperlink>
      <w:r w:rsidRPr="00754117">
        <w:rPr>
          <w:rFonts w:ascii="Arial" w:eastAsia="Times New Roman" w:hAnsi="Arial" w:cs="Arial"/>
          <w:color w:val="000000"/>
          <w:sz w:val="23"/>
          <w:szCs w:val="23"/>
          <w:lang w:eastAsia="pl-PL"/>
        </w:rPr>
        <w:t> i </w:t>
      </w:r>
      <w:hyperlink r:id="rId15" w:history="1">
        <w:r w:rsidRPr="00754117">
          <w:rPr>
            <w:rFonts w:ascii="Arial" w:eastAsia="Times New Roman" w:hAnsi="Arial" w:cs="Arial"/>
            <w:color w:val="CC0000"/>
            <w:sz w:val="23"/>
            <w:szCs w:val="23"/>
            <w:u w:val="single"/>
            <w:lang w:eastAsia="pl-PL"/>
          </w:rPr>
          <w:t>art. 36a</w:t>
        </w:r>
      </w:hyperlink>
      <w:r w:rsidRPr="00754117">
        <w:rPr>
          <w:rFonts w:ascii="Arial" w:eastAsia="Times New Roman" w:hAnsi="Arial" w:cs="Arial"/>
          <w:color w:val="000000"/>
          <w:sz w:val="23"/>
          <w:szCs w:val="23"/>
          <w:lang w:eastAsia="pl-PL"/>
        </w:rPr>
        <w:t> ustawy z dnia 7 września 1991 r. o systemie oświaty (t.j. Dz.U. z 2022 r. </w:t>
      </w:r>
      <w:hyperlink r:id="rId16" w:history="1">
        <w:r w:rsidRPr="00754117">
          <w:rPr>
            <w:rFonts w:ascii="Arial" w:eastAsia="Times New Roman" w:hAnsi="Arial" w:cs="Arial"/>
            <w:color w:val="CC0000"/>
            <w:sz w:val="23"/>
            <w:szCs w:val="23"/>
            <w:u w:val="single"/>
            <w:lang w:eastAsia="pl-PL"/>
          </w:rPr>
          <w:t>poz. 2230</w:t>
        </w:r>
      </w:hyperlink>
      <w:r w:rsidRPr="00754117">
        <w:rPr>
          <w:rFonts w:ascii="Arial" w:eastAsia="Times New Roman" w:hAnsi="Arial" w:cs="Arial"/>
          <w:color w:val="000000"/>
          <w:sz w:val="23"/>
          <w:szCs w:val="23"/>
          <w:lang w:eastAsia="pl-PL"/>
        </w:rPr>
        <w:t>), przez błędną wykładnię, to jest nieuzasadnione przyjęcie, że dyrektor szkoły jako pracodawca nie może być ofiarą mobbingu i nie jest uprawniony do dochodzenia roszczeń z tytułu mobbingu, podczas gdy zgodnie z prawidłową wykładnią prawa materialnego dyrektor szkoły, jak każdy jej pracownik może doznawać zachowań kwalifikowanych jako mobbing i stać się podmiotem wynikających z tego faktu roszczeń; (-) </w:t>
      </w:r>
      <w:hyperlink r:id="rId17"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2</w:t>
        </w:r>
      </w:hyperlink>
      <w:r w:rsidRPr="00754117">
        <w:rPr>
          <w:rFonts w:ascii="Arial" w:eastAsia="Times New Roman" w:hAnsi="Arial" w:cs="Arial"/>
          <w:color w:val="000000"/>
          <w:sz w:val="23"/>
          <w:szCs w:val="23"/>
          <w:lang w:eastAsia="pl-PL"/>
        </w:rPr>
        <w:t> KP w związku z art. 91c ust. 1 KN, przez bezpodstawne przyjęcie, że działania i zachowania, które zdarzyły się tylko raz, nie mogą być elementami mobbingu mimo ich negatywnej oceny przez sąd, podczas gdy prawidłowa wykładnia tego przepisu prowadzi do wniosku, że przesłankę uporczywości i długotrwałości powinien wyczerpywać całokształt udowodnionych działań i zachowań dotyczących pracownika lub skierowanych przeciwko pracownikowi, choćby nie były to za każdym razem takie same działania i zachowania; (-) </w:t>
      </w:r>
      <w:hyperlink r:id="rId18"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2</w:t>
        </w:r>
      </w:hyperlink>
      <w:r w:rsidRPr="00754117">
        <w:rPr>
          <w:rFonts w:ascii="Arial" w:eastAsia="Times New Roman" w:hAnsi="Arial" w:cs="Arial"/>
          <w:color w:val="000000"/>
          <w:sz w:val="23"/>
          <w:szCs w:val="23"/>
          <w:lang w:eastAsia="pl-PL"/>
        </w:rPr>
        <w:t> KP, przez bezpodstawne przyjęcie, że: a) działania i zachowania, mające miejsce poza terenem zakładu pracy, nie mogą być elementami mobbingu, podczas gdy prawidłowa wykładnia tego przepisu prowadzi do wniosku, że działania podejmowane przez pracowników w stosunku do pracownika, w związku z relacjami w zakładzie pracy, na organizowanych przez zakład pracy spotkaniach zespołu pracowników bądź też wobec organu nadzorującego pracownika mobbingowanego mogą stanowić element mobbingu, b) odmowa dofinansowania leczenia nie może być elementem mobbingu, podczas gdy prawidłowa wykładnia tego przepisu prowadzi do wniosku, że działania mieszczące się w uprawnieniach pracodawcy mogą stanowić element mobbingu. Dalej wskazał na naruszenie przepisów postępowania w postaci </w:t>
      </w:r>
      <w:hyperlink r:id="rId19" w:history="1">
        <w:r w:rsidRPr="00754117">
          <w:rPr>
            <w:rFonts w:ascii="Arial" w:eastAsia="Times New Roman" w:hAnsi="Arial" w:cs="Arial"/>
            <w:color w:val="CC0000"/>
            <w:sz w:val="23"/>
            <w:szCs w:val="23"/>
            <w:u w:val="single"/>
            <w:lang w:eastAsia="pl-PL"/>
          </w:rPr>
          <w:t>art. 378 § 1</w:t>
        </w:r>
      </w:hyperlink>
      <w:r w:rsidRPr="00754117">
        <w:rPr>
          <w:rFonts w:ascii="Arial" w:eastAsia="Times New Roman" w:hAnsi="Arial" w:cs="Arial"/>
          <w:color w:val="000000"/>
          <w:sz w:val="23"/>
          <w:szCs w:val="23"/>
          <w:lang w:eastAsia="pl-PL"/>
        </w:rPr>
        <w:t> KPC, które mogło mieć istotny wpływ na wynik sprawy, przez nierozpoznanie sprawy w granicach apelacji, to jest brak odniesienia się do wszystkich wskazanych w apelacji zarzutów.</w:t>
      </w:r>
    </w:p>
    <w:p w14:paraId="66FE29A6"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Mając powyższe na uwadze, pełnomocnik wniósł o uchylenie zaskarżonego wyroku w całości i przekazanie sprawy Sądowi Okręgowemu w Słupsku do ponownego rozpoznania.</w:t>
      </w:r>
    </w:p>
    <w:p w14:paraId="3F90A92F"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lastRenderedPageBreak/>
        <w:t>W odpowiedzi na skargę kasacyjną pozwana wniosła o oddalenie skargi kasacyjnej oraz o zasądzenie od powoda na jej rzecz zwrotu kosztów postępowania kasacyjnego, w tym kosztów zastępstwa prawnego według norm przepisanych.</w:t>
      </w:r>
    </w:p>
    <w:p w14:paraId="2BB74EC9"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highlight w:val="yellow"/>
          <w:lang w:eastAsia="pl-PL"/>
        </w:rPr>
        <w:t>Sąd Najwyższy zważył, co następuje:</w:t>
      </w:r>
    </w:p>
    <w:p w14:paraId="32563F46"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Skarga kasacyjna nie zasługuje na uwzględnienie, bowiem wyrok Sądu drugiej instancji, mimo częściowo błędnego stanowiska, per saldo odpowiada prawu.</w:t>
      </w:r>
    </w:p>
    <w:p w14:paraId="31C63A7F"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W pierwszej kolejności należy odnieść się do procesowego zarzutu naruszenia przepisów postępowania (</w:t>
      </w:r>
      <w:hyperlink r:id="rId20" w:history="1">
        <w:r w:rsidRPr="00754117">
          <w:rPr>
            <w:rFonts w:ascii="Arial" w:eastAsia="Times New Roman" w:hAnsi="Arial" w:cs="Arial"/>
            <w:color w:val="CC0000"/>
            <w:sz w:val="23"/>
            <w:szCs w:val="23"/>
            <w:u w:val="single"/>
            <w:lang w:eastAsia="pl-PL"/>
          </w:rPr>
          <w:t>art. 378 § 1</w:t>
        </w:r>
      </w:hyperlink>
      <w:r w:rsidRPr="00754117">
        <w:rPr>
          <w:rFonts w:ascii="Arial" w:eastAsia="Times New Roman" w:hAnsi="Arial" w:cs="Arial"/>
          <w:color w:val="000000"/>
          <w:sz w:val="23"/>
          <w:szCs w:val="23"/>
          <w:lang w:eastAsia="pl-PL"/>
        </w:rPr>
        <w:t> KPC), przez nierozpoznanie sprawy w granicach apelacji, to znaczy zaniechania odniesienia się do wszystkich zarzutów apelacyjnych.</w:t>
      </w:r>
    </w:p>
    <w:p w14:paraId="1CBEDA5A"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Zarzut ten nie jest trafny. Sformułowanie zawarte w </w:t>
      </w:r>
      <w:hyperlink r:id="rId21" w:history="1">
        <w:r w:rsidRPr="00754117">
          <w:rPr>
            <w:rFonts w:ascii="Arial" w:eastAsia="Times New Roman" w:hAnsi="Arial" w:cs="Arial"/>
            <w:color w:val="CC0000"/>
            <w:sz w:val="23"/>
            <w:szCs w:val="23"/>
            <w:u w:val="single"/>
            <w:lang w:eastAsia="pl-PL"/>
          </w:rPr>
          <w:t>art. 378 § 1</w:t>
        </w:r>
      </w:hyperlink>
      <w:r w:rsidRPr="00754117">
        <w:rPr>
          <w:rFonts w:ascii="Arial" w:eastAsia="Times New Roman" w:hAnsi="Arial" w:cs="Arial"/>
          <w:color w:val="000000"/>
          <w:sz w:val="23"/>
          <w:szCs w:val="23"/>
          <w:lang w:eastAsia="pl-PL"/>
        </w:rPr>
        <w:t> KPC oznacza, że sąd drugiej instancji rozpoznaje sprawę merytorycznie w granicach zaskarżenia, dokonuje własnych ustaleń faktycznych, prowadzi lub ponawia dowody albo poprzestaje na materiale zebranym w pierwszej instancji, ustala podstawę prawną orzeczenia niezależnie od zarzutów podniesionych w apelacji, będąc ewentualnie związany oceną prawną lub uchwałą Sądu Najwyższego, stosuje przepisy regulujące postępowanie apelacyjne, a gdy brak takich przepisów, przepisy dotyczące postępowania przed sądem pierwszej instancji, kontroluje prawidłowość postępowania przed sądem pierwszej instancji (por. wyrok Sądu Najwyższego z dnia 6 lutego 2019 r., </w:t>
      </w:r>
      <w:bookmarkStart w:id="1" w:name="orz.366806933"/>
      <w:r w:rsidRPr="00754117">
        <w:rPr>
          <w:rFonts w:ascii="Arial" w:eastAsia="Times New Roman" w:hAnsi="Arial" w:cs="Arial"/>
          <w:color w:val="000000"/>
          <w:sz w:val="23"/>
          <w:szCs w:val="23"/>
          <w:lang w:eastAsia="pl-PL"/>
        </w:rPr>
        <w:fldChar w:fldCharType="begin"/>
      </w:r>
      <w:r w:rsidRPr="00754117">
        <w:rPr>
          <w:rFonts w:ascii="Arial" w:eastAsia="Times New Roman" w:hAnsi="Arial" w:cs="Arial"/>
          <w:color w:val="000000"/>
          <w:sz w:val="23"/>
          <w:szCs w:val="23"/>
          <w:lang w:eastAsia="pl-PL"/>
        </w:rPr>
        <w:instrText xml:space="preserve"> HYPERLINK "https://sip.legalis.pl/document-view.seam?documentId=mrswglrtgy3dqmbwheztg&amp;refSource=hypdec" </w:instrText>
      </w:r>
      <w:r w:rsidRPr="00754117">
        <w:rPr>
          <w:rFonts w:ascii="Arial" w:eastAsia="Times New Roman" w:hAnsi="Arial" w:cs="Arial"/>
          <w:color w:val="000000"/>
          <w:sz w:val="23"/>
          <w:szCs w:val="23"/>
          <w:lang w:eastAsia="pl-PL"/>
        </w:rPr>
        <w:fldChar w:fldCharType="separate"/>
      </w:r>
      <w:r w:rsidRPr="00754117">
        <w:rPr>
          <w:rFonts w:ascii="Arial" w:eastAsia="Times New Roman" w:hAnsi="Arial" w:cs="Arial"/>
          <w:color w:val="CC0000"/>
          <w:sz w:val="23"/>
          <w:szCs w:val="23"/>
          <w:u w:val="single"/>
          <w:lang w:eastAsia="pl-PL"/>
        </w:rPr>
        <w:t>II PK 290/17</w:t>
      </w:r>
      <w:r w:rsidRPr="00754117">
        <w:rPr>
          <w:rFonts w:ascii="Arial" w:eastAsia="Times New Roman" w:hAnsi="Arial" w:cs="Arial"/>
          <w:color w:val="000000"/>
          <w:sz w:val="23"/>
          <w:szCs w:val="23"/>
          <w:lang w:eastAsia="pl-PL"/>
        </w:rPr>
        <w:fldChar w:fldCharType="end"/>
      </w:r>
      <w:bookmarkEnd w:id="1"/>
      <w:r w:rsidRPr="00754117">
        <w:rPr>
          <w:rFonts w:ascii="Arial" w:eastAsia="Times New Roman" w:hAnsi="Arial" w:cs="Arial"/>
          <w:color w:val="000000"/>
          <w:sz w:val="23"/>
          <w:szCs w:val="23"/>
          <w:lang w:eastAsia="pl-PL"/>
        </w:rPr>
        <w:t>, LEX nr 2616203). Zatem rozpoznanie sprawy w granicach apelacji oznacza, że sąd drugiej instancji nie koncentruje się jedynie na ocenie zasadności zarzutów apelacyjnych, lecz rozstrzyga merytorycznie o zasadności zgłoszonych roszczeń procesowych, skoro funkcją tego przepisu jest zakreślenie granic rozpoznania sprawy przez sąd odwoławczy, a nie kierunek i reguły, wedle których mają zostać ocenione dowody (zob. wyrok Sądu Najwyższego z dnia 16 października 2018 r., </w:t>
      </w:r>
      <w:bookmarkStart w:id="2" w:name="orz.366767185"/>
      <w:r w:rsidRPr="00754117">
        <w:rPr>
          <w:rFonts w:ascii="Arial" w:eastAsia="Times New Roman" w:hAnsi="Arial" w:cs="Arial"/>
          <w:color w:val="000000"/>
          <w:sz w:val="23"/>
          <w:szCs w:val="23"/>
          <w:lang w:eastAsia="pl-PL"/>
        </w:rPr>
        <w:fldChar w:fldCharType="begin"/>
      </w:r>
      <w:r w:rsidRPr="00754117">
        <w:rPr>
          <w:rFonts w:ascii="Arial" w:eastAsia="Times New Roman" w:hAnsi="Arial" w:cs="Arial"/>
          <w:color w:val="000000"/>
          <w:sz w:val="23"/>
          <w:szCs w:val="23"/>
          <w:lang w:eastAsia="pl-PL"/>
        </w:rPr>
        <w:instrText xml:space="preserve"> HYPERLINK "https://sip.legalis.pl/document-view.seam?documentId=mrswglrtgy3donrxge4dk&amp;refSource=hypdec" </w:instrText>
      </w:r>
      <w:r w:rsidRPr="00754117">
        <w:rPr>
          <w:rFonts w:ascii="Arial" w:eastAsia="Times New Roman" w:hAnsi="Arial" w:cs="Arial"/>
          <w:color w:val="000000"/>
          <w:sz w:val="23"/>
          <w:szCs w:val="23"/>
          <w:lang w:eastAsia="pl-PL"/>
        </w:rPr>
        <w:fldChar w:fldCharType="separate"/>
      </w:r>
      <w:r w:rsidRPr="00754117">
        <w:rPr>
          <w:rFonts w:ascii="Arial" w:eastAsia="Times New Roman" w:hAnsi="Arial" w:cs="Arial"/>
          <w:color w:val="CC0000"/>
          <w:sz w:val="23"/>
          <w:szCs w:val="23"/>
          <w:u w:val="single"/>
          <w:lang w:eastAsia="pl-PL"/>
        </w:rPr>
        <w:t>I PK 16/18</w:t>
      </w:r>
      <w:r w:rsidRPr="00754117">
        <w:rPr>
          <w:rFonts w:ascii="Arial" w:eastAsia="Times New Roman" w:hAnsi="Arial" w:cs="Arial"/>
          <w:color w:val="000000"/>
          <w:sz w:val="23"/>
          <w:szCs w:val="23"/>
          <w:lang w:eastAsia="pl-PL"/>
        </w:rPr>
        <w:fldChar w:fldCharType="end"/>
      </w:r>
      <w:bookmarkEnd w:id="2"/>
      <w:r w:rsidRPr="00754117">
        <w:rPr>
          <w:rFonts w:ascii="Arial" w:eastAsia="Times New Roman" w:hAnsi="Arial" w:cs="Arial"/>
          <w:color w:val="000000"/>
          <w:sz w:val="23"/>
          <w:szCs w:val="23"/>
          <w:lang w:eastAsia="pl-PL"/>
        </w:rPr>
        <w:t>, LEX nr 2565880).</w:t>
      </w:r>
    </w:p>
    <w:p w14:paraId="60CB7BB8"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Idąc dalej, z ustanowionego w </w:t>
      </w:r>
      <w:hyperlink r:id="rId22" w:history="1">
        <w:r w:rsidRPr="00754117">
          <w:rPr>
            <w:rFonts w:ascii="Arial" w:eastAsia="Times New Roman" w:hAnsi="Arial" w:cs="Arial"/>
            <w:color w:val="CC0000"/>
            <w:sz w:val="23"/>
            <w:szCs w:val="23"/>
            <w:u w:val="single"/>
            <w:lang w:eastAsia="pl-PL"/>
          </w:rPr>
          <w:t>art. 378 § 1</w:t>
        </w:r>
      </w:hyperlink>
      <w:r w:rsidRPr="00754117">
        <w:rPr>
          <w:rFonts w:ascii="Arial" w:eastAsia="Times New Roman" w:hAnsi="Arial" w:cs="Arial"/>
          <w:color w:val="000000"/>
          <w:sz w:val="23"/>
          <w:szCs w:val="23"/>
          <w:lang w:eastAsia="pl-PL"/>
        </w:rPr>
        <w:t xml:space="preserve"> KPC obowiązku rozpoznania sprawy w granicach apelacji nie wynika oczywiście konieczność osobnego omówienia przez sąd w uzasadnieniu wyroku każdego twierdzenia faktycznego i argumentu prawnego podniesionego przez stronę. Wystarczające jest zbiorcze odniesienie się do zarzutów sformułowanych w apelacji, które pozwala stwierdzić, że wszystkie racje przywołane przez apelującego zostały przez ten sąd rozważone w ramach kontroli instancyjnej rozstrzygnięcia. Uzasadnienie sądu apelacyjnego nie musi spełniać wszystkich wymagań stawianych uzasadnieniu orzeczenia sądu pierwszej instancji; powinno zawierać takie elementy, które ze względu na treść apelacji i na zakres rozpoznania są niezbędne do rozstrzygnięcia sprawy. Wyjaśnienie podstawy prawnej rozstrzygnięcia w orzeczeniu sądu drugiej instancji polega na ocenie wszystkich istotnych zarzutów </w:t>
      </w:r>
      <w:r w:rsidRPr="00754117">
        <w:rPr>
          <w:rFonts w:ascii="Arial" w:eastAsia="Times New Roman" w:hAnsi="Arial" w:cs="Arial"/>
          <w:color w:val="000000"/>
          <w:sz w:val="23"/>
          <w:szCs w:val="23"/>
          <w:lang w:eastAsia="pl-PL"/>
        </w:rPr>
        <w:lastRenderedPageBreak/>
        <w:t>prawnych podniesionych w apelacji (por. wyrok Sądu Najwyższego z 24 czerwca 2020 r., </w:t>
      </w:r>
      <w:bookmarkStart w:id="3" w:name="orz.367412442"/>
      <w:r w:rsidRPr="00754117">
        <w:rPr>
          <w:rFonts w:ascii="Arial" w:eastAsia="Times New Roman" w:hAnsi="Arial" w:cs="Arial"/>
          <w:color w:val="000000"/>
          <w:sz w:val="23"/>
          <w:szCs w:val="23"/>
          <w:lang w:eastAsia="pl-PL"/>
        </w:rPr>
        <w:fldChar w:fldCharType="begin"/>
      </w:r>
      <w:r w:rsidRPr="00754117">
        <w:rPr>
          <w:rFonts w:ascii="Arial" w:eastAsia="Times New Roman" w:hAnsi="Arial" w:cs="Arial"/>
          <w:color w:val="000000"/>
          <w:sz w:val="23"/>
          <w:szCs w:val="23"/>
          <w:lang w:eastAsia="pl-PL"/>
        </w:rPr>
        <w:instrText xml:space="preserve"> HYPERLINK "https://sip.legalis.pl/document-view.seam?documentId=mrswglrtgy3timjsgq2de&amp;refSource=hypdec" </w:instrText>
      </w:r>
      <w:r w:rsidRPr="00754117">
        <w:rPr>
          <w:rFonts w:ascii="Arial" w:eastAsia="Times New Roman" w:hAnsi="Arial" w:cs="Arial"/>
          <w:color w:val="000000"/>
          <w:sz w:val="23"/>
          <w:szCs w:val="23"/>
          <w:lang w:eastAsia="pl-PL"/>
        </w:rPr>
        <w:fldChar w:fldCharType="separate"/>
      </w:r>
      <w:r w:rsidRPr="00754117">
        <w:rPr>
          <w:rFonts w:ascii="Arial" w:eastAsia="Times New Roman" w:hAnsi="Arial" w:cs="Arial"/>
          <w:color w:val="CC0000"/>
          <w:sz w:val="23"/>
          <w:szCs w:val="23"/>
          <w:u w:val="single"/>
          <w:lang w:eastAsia="pl-PL"/>
        </w:rPr>
        <w:t>IV CSK 607/18</w:t>
      </w:r>
      <w:r w:rsidRPr="00754117">
        <w:rPr>
          <w:rFonts w:ascii="Arial" w:eastAsia="Times New Roman" w:hAnsi="Arial" w:cs="Arial"/>
          <w:color w:val="000000"/>
          <w:sz w:val="23"/>
          <w:szCs w:val="23"/>
          <w:lang w:eastAsia="pl-PL"/>
        </w:rPr>
        <w:fldChar w:fldCharType="end"/>
      </w:r>
      <w:bookmarkEnd w:id="3"/>
      <w:r w:rsidRPr="00754117">
        <w:rPr>
          <w:rFonts w:ascii="Arial" w:eastAsia="Times New Roman" w:hAnsi="Arial" w:cs="Arial"/>
          <w:color w:val="000000"/>
          <w:sz w:val="23"/>
          <w:szCs w:val="23"/>
          <w:lang w:eastAsia="pl-PL"/>
        </w:rPr>
        <w:t>, LEX nr 3048217).</w:t>
      </w:r>
    </w:p>
    <w:p w14:paraId="7956378E"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Przekładając opisany wzorzec na grunt przedmiotowej sprawy czytelne staje się, że Sąd Okręgowy ten obowiązek wypełnił. Po pierwsze, poszerzył postępowanie dowodowe i dopuścił dowód z zeznań świadków oraz dokumentów znajdujących się w aktach I C 92/14 (o to też wnosił skarżący w apelacji). Po wtóre, w ten sposób zgromadzony materiał dowodowy odtwarzał w pełni sytuację panującą w pozwanej jednostce, zwłaszcza w latach 2009-2014 (kiedy powódka sprawowała funkcję dyrektora szkoły). Ujawnione w ten sposób zdarzenia nie usprawiedliwiają wniosków, jakie formułowane są w skardze kasacyjnej, co nie oznacza także zanegowania sytuacji konfliktowej na linii nauczyciele dyrektor. </w:t>
      </w:r>
      <w:r w:rsidRPr="00754117">
        <w:rPr>
          <w:rFonts w:ascii="Arial" w:eastAsia="Times New Roman" w:hAnsi="Arial" w:cs="Arial"/>
          <w:color w:val="000000"/>
          <w:sz w:val="23"/>
          <w:szCs w:val="23"/>
          <w:highlight w:val="yellow"/>
          <w:lang w:eastAsia="pl-PL"/>
        </w:rPr>
        <w:t>Ujawnione w procesie fakty tworzą symetryczny obraz relacji panujących w szkole. Z jednej strony miały miejsce zdarzenia naruszające dobre imię powódki (zob. wyrok w sprawie I C 92/14), z drugiej w postępowaniu zgromadzono informacje o jednostronnych korektach przez dyrektora (z pominięciem Rady Pedagogicznej Szkoły) planu zajęć, napiętej sytuacji na linii dyrektor - rodzice, czy też niewyrażeniu przez kierownika zakładu pracy zgody na anonimowe ankiety pracowników w ramach procedur antymobbingowych. Zbiór tych zachowań doprowadził orzekające sądy do zgodnego wniosku, że powódka nie była ofiarą mobbingu.</w:t>
      </w:r>
    </w:p>
    <w:p w14:paraId="7B9E2A22"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Niemniej </w:t>
      </w:r>
      <w:r w:rsidRPr="00754117">
        <w:rPr>
          <w:rFonts w:ascii="Arial" w:eastAsia="Times New Roman" w:hAnsi="Arial" w:cs="Arial"/>
          <w:color w:val="000000"/>
          <w:sz w:val="23"/>
          <w:szCs w:val="23"/>
          <w:highlight w:val="yellow"/>
          <w:lang w:eastAsia="pl-PL"/>
        </w:rPr>
        <w:t>należy podzielić (co do zasady) pogląd skarżącego, że dyrektor szkoły - jeśli jest jednocześnie jej pracownikiem - może być ofiarą mobbingu,</w:t>
      </w:r>
      <w:r w:rsidRPr="00754117">
        <w:rPr>
          <w:rFonts w:ascii="Arial" w:eastAsia="Times New Roman" w:hAnsi="Arial" w:cs="Arial"/>
          <w:color w:val="000000"/>
          <w:sz w:val="23"/>
          <w:szCs w:val="23"/>
          <w:lang w:eastAsia="pl-PL"/>
        </w:rPr>
        <w:t xml:space="preserve"> niezależnie od szeroko omówionej w uzasadnieniu zaskarżonego orzeczenia instytucji „</w:t>
      </w:r>
      <w:proofErr w:type="spellStart"/>
      <w:r w:rsidRPr="00754117">
        <w:rPr>
          <w:rFonts w:ascii="Arial" w:eastAsia="Times New Roman" w:hAnsi="Arial" w:cs="Arial"/>
          <w:color w:val="000000"/>
          <w:sz w:val="23"/>
          <w:szCs w:val="23"/>
          <w:lang w:eastAsia="pl-PL"/>
        </w:rPr>
        <w:t>staffingu</w:t>
      </w:r>
      <w:proofErr w:type="spellEnd"/>
      <w:r w:rsidRPr="00754117">
        <w:rPr>
          <w:rFonts w:ascii="Arial" w:eastAsia="Times New Roman" w:hAnsi="Arial" w:cs="Arial"/>
          <w:color w:val="000000"/>
          <w:sz w:val="23"/>
          <w:szCs w:val="23"/>
          <w:lang w:eastAsia="pl-PL"/>
        </w:rPr>
        <w:t>”. Tym samym po stronie dyrektora szkoły mogą powstać stosowne roszczenia. Zgodnie z </w:t>
      </w:r>
      <w:hyperlink r:id="rId23"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1</w:t>
        </w:r>
      </w:hyperlink>
      <w:r w:rsidRPr="00754117">
        <w:rPr>
          <w:rFonts w:ascii="Arial" w:eastAsia="Times New Roman" w:hAnsi="Arial" w:cs="Arial"/>
          <w:color w:val="000000"/>
          <w:sz w:val="23"/>
          <w:szCs w:val="23"/>
          <w:lang w:eastAsia="pl-PL"/>
        </w:rPr>
        <w:t xml:space="preserve"> KP podmiotem wyłącznie odpowiedzialnym za przeciwdziałanie mobbingowi jak i za jego wystąpienie jest pracodawca, czyli jednostka organizacyjna, choćby nie posiadała osobowości prawnej, a także osoba fizyczna, jeżeli zatrudniają one pracowników. Dotyczy to zarówno sytuacji, w której pracodawca sam jest mobberem, jak i sytuacji, w których mobberem jest inny pracownik lub osoba, za którą pracodawca ponosi odpowiedzialność lub osoba spoza organizacji. </w:t>
      </w:r>
      <w:r w:rsidRPr="00754117">
        <w:rPr>
          <w:rFonts w:ascii="Arial" w:eastAsia="Times New Roman" w:hAnsi="Arial" w:cs="Arial"/>
          <w:color w:val="000000"/>
          <w:sz w:val="23"/>
          <w:szCs w:val="23"/>
          <w:highlight w:val="yellow"/>
          <w:lang w:eastAsia="pl-PL"/>
        </w:rPr>
        <w:t>Ofiarą mobbingu może być zaś każdy pracownik bez względu na zajmowane stanowisko, czy pełnioną funkcję w strukturze pracodawcy,</w:t>
      </w:r>
      <w:r w:rsidRPr="00754117">
        <w:rPr>
          <w:rFonts w:ascii="Arial" w:eastAsia="Times New Roman" w:hAnsi="Arial" w:cs="Arial"/>
          <w:color w:val="000000"/>
          <w:sz w:val="23"/>
          <w:szCs w:val="23"/>
          <w:lang w:eastAsia="pl-PL"/>
        </w:rPr>
        <w:t xml:space="preserve"> ponieważ mobbing oznacza działanie lub zachowanie skierowane przeciwko pracownikowi. A contrario, z ochrony przewidzianej w </w:t>
      </w:r>
      <w:hyperlink r:id="rId24"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hyperlink>
      <w:r w:rsidRPr="00754117">
        <w:rPr>
          <w:rFonts w:ascii="Arial" w:eastAsia="Times New Roman" w:hAnsi="Arial" w:cs="Arial"/>
          <w:color w:val="000000"/>
          <w:sz w:val="23"/>
          <w:szCs w:val="23"/>
          <w:lang w:eastAsia="pl-PL"/>
        </w:rPr>
        <w:t> KP nie mogą korzystać wszyscy ci członkowie personelu pracodawcy, którzy nie spełniają przesłanek określonych w </w:t>
      </w:r>
      <w:hyperlink r:id="rId25" w:history="1">
        <w:r w:rsidRPr="00754117">
          <w:rPr>
            <w:rFonts w:ascii="Arial" w:eastAsia="Times New Roman" w:hAnsi="Arial" w:cs="Arial"/>
            <w:color w:val="CC0000"/>
            <w:sz w:val="23"/>
            <w:szCs w:val="23"/>
            <w:u w:val="single"/>
            <w:lang w:eastAsia="pl-PL"/>
          </w:rPr>
          <w:t>art. 2</w:t>
        </w:r>
      </w:hyperlink>
      <w:r w:rsidRPr="00754117">
        <w:rPr>
          <w:rFonts w:ascii="Arial" w:eastAsia="Times New Roman" w:hAnsi="Arial" w:cs="Arial"/>
          <w:color w:val="000000"/>
          <w:sz w:val="23"/>
          <w:szCs w:val="23"/>
          <w:lang w:eastAsia="pl-PL"/>
        </w:rPr>
        <w:t> KP, to jest zatrudnieni na innej podstawie niż stosunek pracy, w szczególności w ramach umów cywilnoprawnych.</w:t>
      </w:r>
    </w:p>
    <w:p w14:paraId="7DC35BC0"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Pracodawca ponosi także odpowiedzialność w sytuacji, w której występuje mobber zbiorowy, a z nim mamy do czynienia wtedy, gdy indywidualne działania poszczególnych osób nie stanowią mobbingu (choć stanowią naruszenie dóbr osobistych), jednak suma </w:t>
      </w:r>
      <w:r w:rsidRPr="00754117">
        <w:rPr>
          <w:rFonts w:ascii="Arial" w:eastAsia="Times New Roman" w:hAnsi="Arial" w:cs="Arial"/>
          <w:color w:val="000000"/>
          <w:sz w:val="23"/>
          <w:szCs w:val="23"/>
          <w:lang w:eastAsia="pl-PL"/>
        </w:rPr>
        <w:lastRenderedPageBreak/>
        <w:t>działań indywidualnych - w tym nawet działań od siebie niezależnych - wypełnia kryteria mobbingu. Dzieje się tak, kiedy na przykład każdy ze zmieniających się przełożonych mobbuje podwładnego w sposób krótkotrwały. Jednak ostatecznie zjawisko szykan ma charakter długotrwały (zob. A. Sobczyk: Wolność pracy i władza, Warszawa 2015, LEX).</w:t>
      </w:r>
    </w:p>
    <w:p w14:paraId="4AA3C943"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Analiza </w:t>
      </w:r>
      <w:hyperlink r:id="rId26"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3 i 4</w:t>
        </w:r>
      </w:hyperlink>
      <w:r w:rsidRPr="00754117">
        <w:rPr>
          <w:rFonts w:ascii="Arial" w:eastAsia="Times New Roman" w:hAnsi="Arial" w:cs="Arial"/>
          <w:color w:val="000000"/>
          <w:sz w:val="23"/>
          <w:szCs w:val="23"/>
          <w:lang w:eastAsia="pl-PL"/>
        </w:rPr>
        <w:t> KP wskazuje, że odpowiedzialność odszkodowawcza pracodawcy za mobbing została powiązana ze zdarzeniem w postaci doznania/doświadczenia przez pracownika mobbingu, a nie z zachowaniem pracodawcy stanowiącym mobbing. Choć sprawcą mobbingu mogą być różne podmioty, to adresatem roszczeń wywodzonych z </w:t>
      </w:r>
      <w:hyperlink r:id="rId27"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hyperlink>
      <w:r w:rsidRPr="00754117">
        <w:rPr>
          <w:rFonts w:ascii="Arial" w:eastAsia="Times New Roman" w:hAnsi="Arial" w:cs="Arial"/>
          <w:color w:val="000000"/>
          <w:sz w:val="23"/>
          <w:szCs w:val="23"/>
          <w:lang w:eastAsia="pl-PL"/>
        </w:rPr>
        <w:t> KP jest zawsze pracodawca, bo przecież to on ma obowiązek realnego przeciwdziałania temu zjawisku w środowisku pracy (por. wyrok Sądu Najwyższego z dnia 2 października 2009 r., </w:t>
      </w:r>
      <w:bookmarkStart w:id="4" w:name="orz.160303782"/>
      <w:r w:rsidRPr="00754117">
        <w:rPr>
          <w:rFonts w:ascii="Arial" w:eastAsia="Times New Roman" w:hAnsi="Arial" w:cs="Arial"/>
          <w:color w:val="000000"/>
          <w:sz w:val="23"/>
          <w:szCs w:val="23"/>
          <w:lang w:eastAsia="pl-PL"/>
        </w:rPr>
        <w:fldChar w:fldCharType="begin"/>
      </w:r>
      <w:r w:rsidRPr="00754117">
        <w:rPr>
          <w:rFonts w:ascii="Arial" w:eastAsia="Times New Roman" w:hAnsi="Arial" w:cs="Arial"/>
          <w:color w:val="000000"/>
          <w:sz w:val="23"/>
          <w:szCs w:val="23"/>
          <w:lang w:eastAsia="pl-PL"/>
        </w:rPr>
        <w:instrText xml:space="preserve"> HYPERLINK "https://sip.legalis.pl/document-view.seam?documentId=mrswglrrgyydgmbtg44de&amp;refSource=hypdec" </w:instrText>
      </w:r>
      <w:r w:rsidRPr="00754117">
        <w:rPr>
          <w:rFonts w:ascii="Arial" w:eastAsia="Times New Roman" w:hAnsi="Arial" w:cs="Arial"/>
          <w:color w:val="000000"/>
          <w:sz w:val="23"/>
          <w:szCs w:val="23"/>
          <w:lang w:eastAsia="pl-PL"/>
        </w:rPr>
        <w:fldChar w:fldCharType="separate"/>
      </w:r>
      <w:r w:rsidRPr="00754117">
        <w:rPr>
          <w:rFonts w:ascii="Arial" w:eastAsia="Times New Roman" w:hAnsi="Arial" w:cs="Arial"/>
          <w:color w:val="CC0000"/>
          <w:sz w:val="23"/>
          <w:szCs w:val="23"/>
          <w:u w:val="single"/>
          <w:lang w:eastAsia="pl-PL"/>
        </w:rPr>
        <w:t>II PK 105/09</w:t>
      </w:r>
      <w:r w:rsidRPr="00754117">
        <w:rPr>
          <w:rFonts w:ascii="Arial" w:eastAsia="Times New Roman" w:hAnsi="Arial" w:cs="Arial"/>
          <w:color w:val="000000"/>
          <w:sz w:val="23"/>
          <w:szCs w:val="23"/>
          <w:lang w:eastAsia="pl-PL"/>
        </w:rPr>
        <w:fldChar w:fldCharType="end"/>
      </w:r>
      <w:bookmarkEnd w:id="4"/>
      <w:r w:rsidRPr="00754117">
        <w:rPr>
          <w:rFonts w:ascii="Arial" w:eastAsia="Times New Roman" w:hAnsi="Arial" w:cs="Arial"/>
          <w:color w:val="000000"/>
          <w:sz w:val="23"/>
          <w:szCs w:val="23"/>
          <w:lang w:eastAsia="pl-PL"/>
        </w:rPr>
        <w:t>, LEX nr 794859). </w:t>
      </w:r>
      <w:hyperlink r:id="rId28" w:history="1">
        <w:r w:rsidRPr="00754117">
          <w:rPr>
            <w:rFonts w:ascii="Arial" w:eastAsia="Times New Roman" w:hAnsi="Arial" w:cs="Arial"/>
            <w:color w:val="CC0000"/>
            <w:sz w:val="23"/>
            <w:szCs w:val="23"/>
            <w:u w:val="single"/>
            <w:lang w:eastAsia="pl-PL"/>
          </w:rPr>
          <w:t>Artykuł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2</w:t>
        </w:r>
      </w:hyperlink>
      <w:r w:rsidRPr="00754117">
        <w:rPr>
          <w:rFonts w:ascii="Arial" w:eastAsia="Times New Roman" w:hAnsi="Arial" w:cs="Arial"/>
          <w:color w:val="000000"/>
          <w:sz w:val="23"/>
          <w:szCs w:val="23"/>
          <w:lang w:eastAsia="pl-PL"/>
        </w:rPr>
        <w:t> KP chroni pracowników, których pracodawca nie był w stanie ochronić przed poniżaniem, ośmieszaniem, izolowaniem lub eliminowaniem z zespołu współpracowników, z przyczyn od niego zależnych, albo ochronić ich nie chciał. Przepis ten ma zastosowanie do uzewnętrznionych, niekoniecznie, chociaż często publicznie, działań lub zachowań odnoszących się do pracownika, które muszą obiektywnie zaistnieć, aby powiązane z subiektywnymi odczuciami pracownika, do którego są one adresowane, złożyły się na patologiczne zjawisko mobbingu (zob. wyrok Sądu Apelacyjnego w Katowicach z dnia 8 lutego 2018 r., </w:t>
      </w:r>
      <w:bookmarkStart w:id="5" w:name="orz.366677953"/>
      <w:r w:rsidRPr="00754117">
        <w:rPr>
          <w:rFonts w:ascii="Arial" w:eastAsia="Times New Roman" w:hAnsi="Arial" w:cs="Arial"/>
          <w:color w:val="000000"/>
          <w:sz w:val="23"/>
          <w:szCs w:val="23"/>
          <w:lang w:eastAsia="pl-PL"/>
        </w:rPr>
        <w:fldChar w:fldCharType="begin"/>
      </w:r>
      <w:r w:rsidRPr="00754117">
        <w:rPr>
          <w:rFonts w:ascii="Arial" w:eastAsia="Times New Roman" w:hAnsi="Arial" w:cs="Arial"/>
          <w:color w:val="000000"/>
          <w:sz w:val="23"/>
          <w:szCs w:val="23"/>
          <w:lang w:eastAsia="pl-PL"/>
        </w:rPr>
        <w:instrText xml:space="preserve"> HYPERLINK "https://sip.legalis.pl/document-view.seam?documentId=mrswglrtgy3dmnzxhe2tg&amp;refSource=hypdec" </w:instrText>
      </w:r>
      <w:r w:rsidRPr="00754117">
        <w:rPr>
          <w:rFonts w:ascii="Arial" w:eastAsia="Times New Roman" w:hAnsi="Arial" w:cs="Arial"/>
          <w:color w:val="000000"/>
          <w:sz w:val="23"/>
          <w:szCs w:val="23"/>
          <w:lang w:eastAsia="pl-PL"/>
        </w:rPr>
        <w:fldChar w:fldCharType="separate"/>
      </w:r>
      <w:r w:rsidRPr="00754117">
        <w:rPr>
          <w:rFonts w:ascii="Arial" w:eastAsia="Times New Roman" w:hAnsi="Arial" w:cs="Arial"/>
          <w:color w:val="CC0000"/>
          <w:sz w:val="23"/>
          <w:szCs w:val="23"/>
          <w:u w:val="single"/>
          <w:lang w:eastAsia="pl-PL"/>
        </w:rPr>
        <w:t xml:space="preserve">III </w:t>
      </w:r>
      <w:proofErr w:type="spellStart"/>
      <w:r w:rsidRPr="00754117">
        <w:rPr>
          <w:rFonts w:ascii="Arial" w:eastAsia="Times New Roman" w:hAnsi="Arial" w:cs="Arial"/>
          <w:color w:val="CC0000"/>
          <w:sz w:val="23"/>
          <w:szCs w:val="23"/>
          <w:u w:val="single"/>
          <w:lang w:eastAsia="pl-PL"/>
        </w:rPr>
        <w:t>APa</w:t>
      </w:r>
      <w:proofErr w:type="spellEnd"/>
      <w:r w:rsidRPr="00754117">
        <w:rPr>
          <w:rFonts w:ascii="Arial" w:eastAsia="Times New Roman" w:hAnsi="Arial" w:cs="Arial"/>
          <w:color w:val="CC0000"/>
          <w:sz w:val="23"/>
          <w:szCs w:val="23"/>
          <w:u w:val="single"/>
          <w:lang w:eastAsia="pl-PL"/>
        </w:rPr>
        <w:t xml:space="preserve"> 74/17</w:t>
      </w:r>
      <w:r w:rsidRPr="00754117">
        <w:rPr>
          <w:rFonts w:ascii="Arial" w:eastAsia="Times New Roman" w:hAnsi="Arial" w:cs="Arial"/>
          <w:color w:val="000000"/>
          <w:sz w:val="23"/>
          <w:szCs w:val="23"/>
          <w:lang w:eastAsia="pl-PL"/>
        </w:rPr>
        <w:fldChar w:fldCharType="end"/>
      </w:r>
      <w:bookmarkEnd w:id="5"/>
      <w:r w:rsidRPr="00754117">
        <w:rPr>
          <w:rFonts w:ascii="Arial" w:eastAsia="Times New Roman" w:hAnsi="Arial" w:cs="Arial"/>
          <w:color w:val="000000"/>
          <w:sz w:val="23"/>
          <w:szCs w:val="23"/>
          <w:lang w:eastAsia="pl-PL"/>
        </w:rPr>
        <w:t>, LEX nr 2464807).</w:t>
      </w:r>
    </w:p>
    <w:p w14:paraId="086CFA91"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Z ustawowej definicji wynika, że mobbing polega na wrogim i nieetycznym zachowaniu, które jest kierowane w sposób systematyczny przez jedną lub więcej osób, głównie przeciwko jednej osobie, która na skutek mobbingu staje się bezradna i bezbronna, pozostając w tej pozycji wskutek działań mobbingowych o charakterze ciągłym (zob. wyrok Sądu Najwyższego z dnia 22 lutego 2023 r., </w:t>
      </w:r>
      <w:hyperlink r:id="rId29" w:history="1">
        <w:r w:rsidRPr="00754117">
          <w:rPr>
            <w:rFonts w:ascii="Arial" w:eastAsia="Times New Roman" w:hAnsi="Arial" w:cs="Arial"/>
            <w:color w:val="CC0000"/>
            <w:sz w:val="23"/>
            <w:szCs w:val="23"/>
            <w:u w:val="single"/>
            <w:lang w:eastAsia="pl-PL"/>
          </w:rPr>
          <w:t>I PSKP 8/22</w:t>
        </w:r>
      </w:hyperlink>
      <w:r w:rsidRPr="00754117">
        <w:rPr>
          <w:rFonts w:ascii="Arial" w:eastAsia="Times New Roman" w:hAnsi="Arial" w:cs="Arial"/>
          <w:color w:val="000000"/>
          <w:sz w:val="23"/>
          <w:szCs w:val="23"/>
          <w:lang w:eastAsia="pl-PL"/>
        </w:rPr>
        <w:t>, LEX nr 3554444). Zachowania mobbera muszą być więc naganne, niemające usprawiedliwienia w normach etycznych, czy zasadach współżycia społecznego, a taki charakter mogą mieć również, niebędące bezprawnymi w rozumieniu innych przepisów, zachowania polegające na realizacji uprawnień względem podwładnych czy współpracowników, na przykład przez zastosowanie kar porządkowych, czy wydawanie sprzecznych poleceń, narzucanie niewykonalnych zadań, czy norm czasowych, nie wspominając już o takich zachowaniach, jak złośliwe wypowiedzi, szykany, intrygi, sadyzm (por. wyrok Sądu Najwyższego z dnia 22 kwietnia 2015 r., </w:t>
      </w:r>
      <w:bookmarkStart w:id="6" w:name="orz.321196637"/>
      <w:r w:rsidRPr="00754117">
        <w:rPr>
          <w:rFonts w:ascii="Arial" w:eastAsia="Times New Roman" w:hAnsi="Arial" w:cs="Arial"/>
          <w:color w:val="000000"/>
          <w:sz w:val="23"/>
          <w:szCs w:val="23"/>
          <w:lang w:eastAsia="pl-PL"/>
        </w:rPr>
        <w:fldChar w:fldCharType="begin"/>
      </w:r>
      <w:r w:rsidRPr="00754117">
        <w:rPr>
          <w:rFonts w:ascii="Arial" w:eastAsia="Times New Roman" w:hAnsi="Arial" w:cs="Arial"/>
          <w:color w:val="000000"/>
          <w:sz w:val="23"/>
          <w:szCs w:val="23"/>
          <w:lang w:eastAsia="pl-PL"/>
        </w:rPr>
        <w:instrText xml:space="preserve"> HYPERLINK "https://sip.legalis.pl/document-view.seam?documentId=mrswglrtgiytcojwgyzto&amp;refSource=hypdec" </w:instrText>
      </w:r>
      <w:r w:rsidRPr="00754117">
        <w:rPr>
          <w:rFonts w:ascii="Arial" w:eastAsia="Times New Roman" w:hAnsi="Arial" w:cs="Arial"/>
          <w:color w:val="000000"/>
          <w:sz w:val="23"/>
          <w:szCs w:val="23"/>
          <w:lang w:eastAsia="pl-PL"/>
        </w:rPr>
        <w:fldChar w:fldCharType="separate"/>
      </w:r>
      <w:r w:rsidRPr="00754117">
        <w:rPr>
          <w:rFonts w:ascii="Arial" w:eastAsia="Times New Roman" w:hAnsi="Arial" w:cs="Arial"/>
          <w:color w:val="CC0000"/>
          <w:sz w:val="23"/>
          <w:szCs w:val="23"/>
          <w:u w:val="single"/>
          <w:lang w:eastAsia="pl-PL"/>
        </w:rPr>
        <w:t>II PK 166/14</w:t>
      </w:r>
      <w:r w:rsidRPr="00754117">
        <w:rPr>
          <w:rFonts w:ascii="Arial" w:eastAsia="Times New Roman" w:hAnsi="Arial" w:cs="Arial"/>
          <w:color w:val="000000"/>
          <w:sz w:val="23"/>
          <w:szCs w:val="23"/>
          <w:lang w:eastAsia="pl-PL"/>
        </w:rPr>
        <w:fldChar w:fldCharType="end"/>
      </w:r>
      <w:bookmarkEnd w:id="6"/>
      <w:r w:rsidRPr="00754117">
        <w:rPr>
          <w:rFonts w:ascii="Arial" w:eastAsia="Times New Roman" w:hAnsi="Arial" w:cs="Arial"/>
          <w:color w:val="000000"/>
          <w:sz w:val="23"/>
          <w:szCs w:val="23"/>
          <w:lang w:eastAsia="pl-PL"/>
        </w:rPr>
        <w:t xml:space="preserve">, LEX nr 1712815). Tym samym za mobbing powinny być uznane wszelkie zachowania sprawcy dotyczące pracownika lub skierowane przeciwko niemu, które wyczerpują ustawowe znamiona mobbingu, w tym także te, które cechują się zwykłym niedbalstwem pracodawcy w zaniedbywaniu obowiązku przeciwdziałania mobbingowi, czy też niezachowaniem należytej staranności przez zatrudniającego (zob. H. Szewczyk: Treść pojęcia mobbingu. Glosa do wyroku </w:t>
      </w:r>
      <w:r w:rsidRPr="00754117">
        <w:rPr>
          <w:rFonts w:ascii="Arial" w:eastAsia="Times New Roman" w:hAnsi="Arial" w:cs="Arial"/>
          <w:color w:val="000000"/>
          <w:sz w:val="23"/>
          <w:szCs w:val="23"/>
          <w:lang w:eastAsia="pl-PL"/>
        </w:rPr>
        <w:lastRenderedPageBreak/>
        <w:t>Sądu Najwyższego z 16 marca 2010 r., </w:t>
      </w:r>
      <w:bookmarkStart w:id="7" w:name="orz.195353499"/>
      <w:r w:rsidRPr="00754117">
        <w:rPr>
          <w:rFonts w:ascii="Arial" w:eastAsia="Times New Roman" w:hAnsi="Arial" w:cs="Arial"/>
          <w:color w:val="000000"/>
          <w:sz w:val="23"/>
          <w:szCs w:val="23"/>
          <w:lang w:eastAsia="pl-PL"/>
        </w:rPr>
        <w:fldChar w:fldCharType="begin"/>
      </w:r>
      <w:r w:rsidRPr="00754117">
        <w:rPr>
          <w:rFonts w:ascii="Arial" w:eastAsia="Times New Roman" w:hAnsi="Arial" w:cs="Arial"/>
          <w:color w:val="000000"/>
          <w:sz w:val="23"/>
          <w:szCs w:val="23"/>
          <w:lang w:eastAsia="pl-PL"/>
        </w:rPr>
        <w:instrText xml:space="preserve"> HYPERLINK "https://sip.legalis.pl/document-view.seam?documentId=mrswglrrhe2tgnjtgq4ts&amp;refSource=hypdec" </w:instrText>
      </w:r>
      <w:r w:rsidRPr="00754117">
        <w:rPr>
          <w:rFonts w:ascii="Arial" w:eastAsia="Times New Roman" w:hAnsi="Arial" w:cs="Arial"/>
          <w:color w:val="000000"/>
          <w:sz w:val="23"/>
          <w:szCs w:val="23"/>
          <w:lang w:eastAsia="pl-PL"/>
        </w:rPr>
        <w:fldChar w:fldCharType="separate"/>
      </w:r>
      <w:r w:rsidRPr="00754117">
        <w:rPr>
          <w:rFonts w:ascii="Arial" w:eastAsia="Times New Roman" w:hAnsi="Arial" w:cs="Arial"/>
          <w:color w:val="CC0000"/>
          <w:sz w:val="23"/>
          <w:szCs w:val="23"/>
          <w:u w:val="single"/>
          <w:lang w:eastAsia="pl-PL"/>
        </w:rPr>
        <w:t>I PK 203/09</w:t>
      </w:r>
      <w:r w:rsidRPr="00754117">
        <w:rPr>
          <w:rFonts w:ascii="Arial" w:eastAsia="Times New Roman" w:hAnsi="Arial" w:cs="Arial"/>
          <w:color w:val="000000"/>
          <w:sz w:val="23"/>
          <w:szCs w:val="23"/>
          <w:lang w:eastAsia="pl-PL"/>
        </w:rPr>
        <w:fldChar w:fldCharType="end"/>
      </w:r>
      <w:bookmarkEnd w:id="7"/>
      <w:r w:rsidRPr="00754117">
        <w:rPr>
          <w:rFonts w:ascii="Arial" w:eastAsia="Times New Roman" w:hAnsi="Arial" w:cs="Arial"/>
          <w:color w:val="000000"/>
          <w:sz w:val="23"/>
          <w:szCs w:val="23"/>
          <w:lang w:eastAsia="pl-PL"/>
        </w:rPr>
        <w:t>, Gdańskie Studia Prawnicze -Przegląd Orzecznictwa, 2011 nr 2, s. 179-186).</w:t>
      </w:r>
    </w:p>
    <w:p w14:paraId="57D53D61"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Sumując powyższe uwagi, należy przyjąć, że dyrektor szkoły, będący nauczycielem, może być ofiarą mobbingu skierowanego przeciw niemu przez pozostałych nauczycieli, ponieważ powierzenie nauczycielowi funkcji dyrektora nie zmienia istniejącego zatrudnienia (dotychczasowej podstawy zatrudnienia), a stanowi tylko powierzenie dodatkowej funkcji (zob. P. Prusinowski: System Prawa Pracy. Tom XI. Pragmatyki pracownicze. K.W. Baran (red.), Z. Góral (red.), Warszawa 2021). O ile można zgodzić się z Sądem Okręgowym, że pracodawca (w rozumieniu </w:t>
      </w:r>
      <w:hyperlink r:id="rId30" w:history="1">
        <w:r w:rsidRPr="00754117">
          <w:rPr>
            <w:rFonts w:ascii="Arial" w:eastAsia="Times New Roman" w:hAnsi="Arial" w:cs="Arial"/>
            <w:color w:val="CC0000"/>
            <w:sz w:val="23"/>
            <w:szCs w:val="23"/>
            <w:u w:val="single"/>
            <w:lang w:eastAsia="pl-PL"/>
          </w:rPr>
          <w:t>art. 3</w:t>
        </w:r>
      </w:hyperlink>
      <w:r w:rsidRPr="00754117">
        <w:rPr>
          <w:rFonts w:ascii="Arial" w:eastAsia="Times New Roman" w:hAnsi="Arial" w:cs="Arial"/>
          <w:color w:val="000000"/>
          <w:sz w:val="23"/>
          <w:szCs w:val="23"/>
          <w:lang w:eastAsia="pl-PL"/>
        </w:rPr>
        <w:t> KP) - co do zasady - nie może być ofiarą mobbingu, o tyle ad casum analiza źródeł prawa określających pozycję i kompetencje dyrektora szkoły (ustawa z dnia 7 września 1991 r., o systemie oświaty, t.j. Dz.U. z 2022 r. </w:t>
      </w:r>
      <w:hyperlink r:id="rId31" w:history="1">
        <w:r w:rsidRPr="00754117">
          <w:rPr>
            <w:rFonts w:ascii="Arial" w:eastAsia="Times New Roman" w:hAnsi="Arial" w:cs="Arial"/>
            <w:color w:val="CC0000"/>
            <w:sz w:val="23"/>
            <w:szCs w:val="23"/>
            <w:u w:val="single"/>
            <w:lang w:eastAsia="pl-PL"/>
          </w:rPr>
          <w:t>poz. 2230</w:t>
        </w:r>
      </w:hyperlink>
      <w:r w:rsidRPr="00754117">
        <w:rPr>
          <w:rFonts w:ascii="Arial" w:eastAsia="Times New Roman" w:hAnsi="Arial" w:cs="Arial"/>
          <w:color w:val="000000"/>
          <w:sz w:val="23"/>
          <w:szCs w:val="23"/>
          <w:lang w:eastAsia="pl-PL"/>
        </w:rPr>
        <w:t>, a obecnie ustawa z dnia 14 grudnia 2016 r. - Prawo oświatowe, t.j. Dz.U. z 2023 r. </w:t>
      </w:r>
      <w:hyperlink r:id="rId32" w:history="1">
        <w:r w:rsidRPr="00754117">
          <w:rPr>
            <w:rFonts w:ascii="Arial" w:eastAsia="Times New Roman" w:hAnsi="Arial" w:cs="Arial"/>
            <w:color w:val="CC0000"/>
            <w:sz w:val="23"/>
            <w:szCs w:val="23"/>
            <w:u w:val="single"/>
            <w:lang w:eastAsia="pl-PL"/>
          </w:rPr>
          <w:t>poz. 900</w:t>
        </w:r>
      </w:hyperlink>
      <w:r w:rsidRPr="00754117">
        <w:rPr>
          <w:rFonts w:ascii="Arial" w:eastAsia="Times New Roman" w:hAnsi="Arial" w:cs="Arial"/>
          <w:color w:val="000000"/>
          <w:sz w:val="23"/>
          <w:szCs w:val="23"/>
          <w:lang w:eastAsia="pl-PL"/>
        </w:rPr>
        <w:t>; ustawa z dnia 26 stycznia 1982 r. - Karta Nauczyciela, t.j. Dz.U. z 2023 r. </w:t>
      </w:r>
      <w:hyperlink r:id="rId33" w:history="1">
        <w:r w:rsidRPr="00754117">
          <w:rPr>
            <w:rFonts w:ascii="Arial" w:eastAsia="Times New Roman" w:hAnsi="Arial" w:cs="Arial"/>
            <w:color w:val="CC0000"/>
            <w:sz w:val="23"/>
            <w:szCs w:val="23"/>
            <w:u w:val="single"/>
            <w:lang w:eastAsia="pl-PL"/>
          </w:rPr>
          <w:t>poz. 984</w:t>
        </w:r>
      </w:hyperlink>
      <w:r w:rsidRPr="00754117">
        <w:rPr>
          <w:rFonts w:ascii="Arial" w:eastAsia="Times New Roman" w:hAnsi="Arial" w:cs="Arial"/>
          <w:color w:val="000000"/>
          <w:sz w:val="23"/>
          <w:szCs w:val="23"/>
          <w:lang w:eastAsia="pl-PL"/>
        </w:rPr>
        <w:t>) wskazuje, że w tym wypadku taki podmiot nie posiada pełnej i wyłącznej sfery kompetencji pracodawczych, ponieważ część z nich (dość istotną zresztą) wykonuje organ prowadzący daną jednostkę. Zdecydowana większość szkół państwowych pozostaje w gestii samorządu terytorialnego, gdzie organem prowadzącym jest odpowiednio właściwy organ jednostki samorządu terytorialnego. Stąd do wytyczenia kompetencji i określenia pozycji dyrektora szkoły jako pracodawcy zastosowanie ma także ustawa z dnia 21 listopada 2008 r. o pracownikach samorządowych (t.j. Dz.U. z 2022 r. </w:t>
      </w:r>
      <w:hyperlink r:id="rId34" w:history="1">
        <w:r w:rsidRPr="00754117">
          <w:rPr>
            <w:rFonts w:ascii="Arial" w:eastAsia="Times New Roman" w:hAnsi="Arial" w:cs="Arial"/>
            <w:color w:val="CC0000"/>
            <w:sz w:val="23"/>
            <w:szCs w:val="23"/>
            <w:u w:val="single"/>
            <w:lang w:eastAsia="pl-PL"/>
          </w:rPr>
          <w:t>poz. 530</w:t>
        </w:r>
      </w:hyperlink>
      <w:r w:rsidRPr="00754117">
        <w:rPr>
          <w:rFonts w:ascii="Arial" w:eastAsia="Times New Roman" w:hAnsi="Arial" w:cs="Arial"/>
          <w:color w:val="000000"/>
          <w:sz w:val="23"/>
          <w:szCs w:val="23"/>
          <w:lang w:eastAsia="pl-PL"/>
        </w:rPr>
        <w:t>). Dlatego nie można nauczyciela, któremu powierzono pełnienie funkcji dyrektora szkoły utożsamiać wyłącznie z pracodawcą, z pominięciem jego statusu pracowniczego. Przepis </w:t>
      </w:r>
      <w:hyperlink r:id="rId35" w:history="1">
        <w:r w:rsidRPr="00754117">
          <w:rPr>
            <w:rFonts w:ascii="Arial" w:eastAsia="Times New Roman" w:hAnsi="Arial" w:cs="Arial"/>
            <w:color w:val="CC0000"/>
            <w:sz w:val="23"/>
            <w:szCs w:val="23"/>
            <w:u w:val="single"/>
            <w:lang w:eastAsia="pl-PL"/>
          </w:rPr>
          <w:t>art. 68 ust. 5</w:t>
        </w:r>
      </w:hyperlink>
      <w:r w:rsidRPr="00754117">
        <w:rPr>
          <w:rFonts w:ascii="Arial" w:eastAsia="Times New Roman" w:hAnsi="Arial" w:cs="Arial"/>
          <w:color w:val="000000"/>
          <w:sz w:val="23"/>
          <w:szCs w:val="23"/>
          <w:lang w:eastAsia="pl-PL"/>
        </w:rPr>
        <w:t> prawa oświatowego określa dyrektora jako kierownika zakładu pracy dla zatrudnionych w szkole nauczycieli i pracowników niebędących nauczycielami. Dyrektor jest zatem osobą upoważnioną z mocy prawa do dokonywania za pracodawcę czynności w sprawach z zakresu prawa pracy, aktualnie bowiem, na gruncie przepisów Kodeksu pracy, pojęcie kierownika zakładu pracy nie występuje. Jednakże czynności z zakresu prawa pracy w stosunku do dyrektora szkoły wykonuje organ prowadzący (</w:t>
      </w:r>
      <w:hyperlink r:id="rId36" w:history="1">
        <w:r w:rsidRPr="00754117">
          <w:rPr>
            <w:rFonts w:ascii="Arial" w:eastAsia="Times New Roman" w:hAnsi="Arial" w:cs="Arial"/>
            <w:color w:val="CC0000"/>
            <w:sz w:val="23"/>
            <w:szCs w:val="23"/>
            <w:u w:val="single"/>
            <w:lang w:eastAsia="pl-PL"/>
          </w:rPr>
          <w:t>art. 10 ust. 1 pkt 6</w:t>
        </w:r>
      </w:hyperlink>
      <w:r w:rsidRPr="00754117">
        <w:rPr>
          <w:rFonts w:ascii="Arial" w:eastAsia="Times New Roman" w:hAnsi="Arial" w:cs="Arial"/>
          <w:color w:val="000000"/>
          <w:sz w:val="23"/>
          <w:szCs w:val="23"/>
          <w:lang w:eastAsia="pl-PL"/>
        </w:rPr>
        <w:t> prawa oświatowego). Zakres umocowania organu prowadzącego obejmuje szeroki katalog spraw, między innymi: powierzenie stanowiska, ustalanie wynagrodzenia, przyznawanie określonych świadczeń, udzielanie urlopów i zwolnień od pracy, wydawanie poleceń odbycia podróży służbowej, nagradzanie i nakładanie kar porządkowych.</w:t>
      </w:r>
    </w:p>
    <w:p w14:paraId="2AA08EA0"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Odnosząc się do kolejnej wiązki argumentów, warto podkreślić, że stosowanie mobbingu może w konkretnych okolicznościach polegać także na podejmowaniu przez mobbera działań w granicach ustawowych uprawnień (por. wyrok Sądu Najwyższego z dnia 8 grudnia 2005 r., </w:t>
      </w:r>
      <w:bookmarkStart w:id="8" w:name="orz.65084013"/>
      <w:r w:rsidRPr="00754117">
        <w:rPr>
          <w:rFonts w:ascii="Arial" w:eastAsia="Times New Roman" w:hAnsi="Arial" w:cs="Arial"/>
          <w:color w:val="000000"/>
          <w:sz w:val="23"/>
          <w:szCs w:val="23"/>
          <w:lang w:eastAsia="pl-PL"/>
        </w:rPr>
        <w:fldChar w:fldCharType="begin"/>
      </w:r>
      <w:r w:rsidRPr="00754117">
        <w:rPr>
          <w:rFonts w:ascii="Arial" w:eastAsia="Times New Roman" w:hAnsi="Arial" w:cs="Arial"/>
          <w:color w:val="000000"/>
          <w:sz w:val="23"/>
          <w:szCs w:val="23"/>
          <w:lang w:eastAsia="pl-PL"/>
        </w:rPr>
        <w:instrText xml:space="preserve"> HYPERLINK "https://sip.legalis.pl/document-view.seam?documentId=mrswglrwguydqnbqgezq&amp;refSource=hypdec" </w:instrText>
      </w:r>
      <w:r w:rsidRPr="00754117">
        <w:rPr>
          <w:rFonts w:ascii="Arial" w:eastAsia="Times New Roman" w:hAnsi="Arial" w:cs="Arial"/>
          <w:color w:val="000000"/>
          <w:sz w:val="23"/>
          <w:szCs w:val="23"/>
          <w:lang w:eastAsia="pl-PL"/>
        </w:rPr>
        <w:fldChar w:fldCharType="separate"/>
      </w:r>
      <w:r w:rsidRPr="00754117">
        <w:rPr>
          <w:rFonts w:ascii="Arial" w:eastAsia="Times New Roman" w:hAnsi="Arial" w:cs="Arial"/>
          <w:color w:val="CC0000"/>
          <w:sz w:val="23"/>
          <w:szCs w:val="23"/>
          <w:u w:val="single"/>
          <w:lang w:eastAsia="pl-PL"/>
        </w:rPr>
        <w:t>I PK 103/05</w:t>
      </w:r>
      <w:r w:rsidRPr="00754117">
        <w:rPr>
          <w:rFonts w:ascii="Arial" w:eastAsia="Times New Roman" w:hAnsi="Arial" w:cs="Arial"/>
          <w:color w:val="000000"/>
          <w:sz w:val="23"/>
          <w:szCs w:val="23"/>
          <w:lang w:eastAsia="pl-PL"/>
        </w:rPr>
        <w:fldChar w:fldCharType="end"/>
      </w:r>
      <w:bookmarkEnd w:id="8"/>
      <w:r w:rsidRPr="00754117">
        <w:rPr>
          <w:rFonts w:ascii="Arial" w:eastAsia="Times New Roman" w:hAnsi="Arial" w:cs="Arial"/>
          <w:color w:val="000000"/>
          <w:sz w:val="23"/>
          <w:szCs w:val="23"/>
          <w:lang w:eastAsia="pl-PL"/>
        </w:rPr>
        <w:t xml:space="preserve">, OSNP 2006 nr 21-22, poz. 321). Przy czym we wskazanej definicji nie chodzi o ciągłość działania zawsze jednej </w:t>
      </w:r>
      <w:r w:rsidRPr="00754117">
        <w:rPr>
          <w:rFonts w:ascii="Arial" w:eastAsia="Times New Roman" w:hAnsi="Arial" w:cs="Arial"/>
          <w:color w:val="000000"/>
          <w:sz w:val="23"/>
          <w:szCs w:val="23"/>
          <w:lang w:eastAsia="pl-PL"/>
        </w:rPr>
        <w:lastRenderedPageBreak/>
        <w:t>osoby, ale ciągłość zachowań (działań lub zaniechań) mobbingowych w ogólności. Wyraźnie widać to w przypadku mobbera zbiorowego. Innymi słowy, przesłanka ciągłości jest zachowana, jeżeli weźmie się pod uwagę sumę wszystkich zachowań mobbingowych, również pochodzących od kilku osób występujących w określonym czasie i miejscu. Przepis nie definiuje również uporczywości oraz nie określa żadnych ram czasowych wyznaczających granice długotrwałości. Racjonalną konsekwencją takiego ujęcia jest konieczność ustalenia i oceny obu przesłanek w sposób zindywidualizowany, w odniesieniu do okoliczności konkretnego przypadku. Za uznaniem długotrwałości takiego oddziaływania na pracownika przemawia także ustalenie, że spowodowało ono rozstrój zdrowia, o którym stanowi </w:t>
      </w:r>
      <w:hyperlink r:id="rId37"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3</w:t>
        </w:r>
      </w:hyperlink>
      <w:r w:rsidRPr="00754117">
        <w:rPr>
          <w:rFonts w:ascii="Arial" w:eastAsia="Times New Roman" w:hAnsi="Arial" w:cs="Arial"/>
          <w:color w:val="000000"/>
          <w:sz w:val="23"/>
          <w:szCs w:val="23"/>
          <w:lang w:eastAsia="pl-PL"/>
        </w:rPr>
        <w:t> KP. Również sformułowanie „nękanie” zdaje się sugerować pewną wielokrotność zachowań, natomiast nie jest konieczna ich tożsamość (zob. A. Zoll, (w:) W. Wróbel (red.), Kodeks karny. Część szczególna. Tom II. Część I. Komentarz do art. 117-211a, Warszawa 2017, art. 190(a); B. Kaczmarski, A. Miśkiewicz: Mobbing w świetle przepisów ustawy karnej. Próba wskazania zakresu prawnokarnej ochrony, Prokuratura i Prawo 2023 nr 3, poz. 90-122).</w:t>
      </w:r>
    </w:p>
    <w:p w14:paraId="6C8C688A"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Nie ma również znaczenia czy zachowania sprawcy były zamierzone, to znaczy było ukierunkowane na osiągnięcie któregokolwiek z celów lub skutków wymienionych w </w:t>
      </w:r>
      <w:hyperlink r:id="rId38" w:history="1">
        <w:r w:rsidRPr="00754117">
          <w:rPr>
            <w:rFonts w:ascii="Arial" w:eastAsia="Times New Roman" w:hAnsi="Arial" w:cs="Arial"/>
            <w:color w:val="CC0000"/>
            <w:sz w:val="23"/>
            <w:szCs w:val="23"/>
            <w:u w:val="single"/>
            <w:lang w:eastAsia="pl-PL"/>
          </w:rPr>
          <w:t>art. 94</w:t>
        </w:r>
        <w:r w:rsidRPr="00754117">
          <w:rPr>
            <w:rFonts w:ascii="Arial" w:eastAsia="Times New Roman" w:hAnsi="Arial" w:cs="Arial"/>
            <w:color w:val="CC0000"/>
            <w:sz w:val="17"/>
            <w:szCs w:val="17"/>
            <w:u w:val="single"/>
            <w:vertAlign w:val="superscript"/>
            <w:lang w:eastAsia="pl-PL"/>
          </w:rPr>
          <w:t>3</w:t>
        </w:r>
        <w:r w:rsidRPr="00754117">
          <w:rPr>
            <w:rFonts w:ascii="Arial" w:eastAsia="Times New Roman" w:hAnsi="Arial" w:cs="Arial"/>
            <w:color w:val="CC0000"/>
            <w:sz w:val="23"/>
            <w:szCs w:val="23"/>
            <w:u w:val="single"/>
            <w:lang w:eastAsia="pl-PL"/>
          </w:rPr>
          <w:t> § 2</w:t>
        </w:r>
      </w:hyperlink>
      <w:r w:rsidRPr="00754117">
        <w:rPr>
          <w:rFonts w:ascii="Arial" w:eastAsia="Times New Roman" w:hAnsi="Arial" w:cs="Arial"/>
          <w:color w:val="000000"/>
          <w:sz w:val="23"/>
          <w:szCs w:val="23"/>
          <w:lang w:eastAsia="pl-PL"/>
        </w:rPr>
        <w:t> KP Skutki zachowania mobbera, które są istotną cechą mobbingu, mogą, lecz nie muszą być zamierzone. Pracodawca odpowiada za skutki mobbingu także wówczas, gdy jego sprawca działał nieumyślnie, a więc nie dążył do wywołania określonego skutku (por. wyrok Sądu Najwyższego z dnia 22 lutego 2023 r., </w:t>
      </w:r>
      <w:bookmarkStart w:id="9" w:name="orz.367874705"/>
      <w:r w:rsidRPr="00754117">
        <w:rPr>
          <w:rFonts w:ascii="Arial" w:eastAsia="Times New Roman" w:hAnsi="Arial" w:cs="Arial"/>
          <w:color w:val="000000"/>
          <w:sz w:val="23"/>
          <w:szCs w:val="23"/>
          <w:lang w:eastAsia="pl-PL"/>
        </w:rPr>
        <w:fldChar w:fldCharType="begin"/>
      </w:r>
      <w:r w:rsidRPr="00754117">
        <w:rPr>
          <w:rFonts w:ascii="Arial" w:eastAsia="Times New Roman" w:hAnsi="Arial" w:cs="Arial"/>
          <w:color w:val="000000"/>
          <w:sz w:val="23"/>
          <w:szCs w:val="23"/>
          <w:lang w:eastAsia="pl-PL"/>
        </w:rPr>
        <w:instrText xml:space="preserve"> HYPERLINK "https://sip.legalis.pl/document-view.seam?documentId=mrswglrtgy3tqnzug4ydk&amp;refSource=hypdec" </w:instrText>
      </w:r>
      <w:r w:rsidRPr="00754117">
        <w:rPr>
          <w:rFonts w:ascii="Arial" w:eastAsia="Times New Roman" w:hAnsi="Arial" w:cs="Arial"/>
          <w:color w:val="000000"/>
          <w:sz w:val="23"/>
          <w:szCs w:val="23"/>
          <w:lang w:eastAsia="pl-PL"/>
        </w:rPr>
        <w:fldChar w:fldCharType="separate"/>
      </w:r>
      <w:r w:rsidRPr="00754117">
        <w:rPr>
          <w:rFonts w:ascii="Arial" w:eastAsia="Times New Roman" w:hAnsi="Arial" w:cs="Arial"/>
          <w:color w:val="CC0000"/>
          <w:sz w:val="23"/>
          <w:szCs w:val="23"/>
          <w:u w:val="single"/>
          <w:lang w:eastAsia="pl-PL"/>
        </w:rPr>
        <w:t>I PSKP 8/22</w:t>
      </w:r>
      <w:r w:rsidRPr="00754117">
        <w:rPr>
          <w:rFonts w:ascii="Arial" w:eastAsia="Times New Roman" w:hAnsi="Arial" w:cs="Arial"/>
          <w:color w:val="000000"/>
          <w:sz w:val="23"/>
          <w:szCs w:val="23"/>
          <w:lang w:eastAsia="pl-PL"/>
        </w:rPr>
        <w:fldChar w:fldCharType="end"/>
      </w:r>
      <w:bookmarkEnd w:id="9"/>
      <w:r w:rsidRPr="00754117">
        <w:rPr>
          <w:rFonts w:ascii="Arial" w:eastAsia="Times New Roman" w:hAnsi="Arial" w:cs="Arial"/>
          <w:color w:val="000000"/>
          <w:sz w:val="23"/>
          <w:szCs w:val="23"/>
          <w:lang w:eastAsia="pl-PL"/>
        </w:rPr>
        <w:t>, OSNP 2023 nr 10, poz. 105).</w:t>
      </w:r>
    </w:p>
    <w:p w14:paraId="61935CDC"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Biorąc pod uwagę dotychczasowe uwagi, należy pamiętać, że prawo materialne stosuje się do określonego stanu faktycznego sprawy. To on determinuje jego wykładnię. Analizowany problem nie może być czytany tylko punktowo z perspektywy spojrzenia powódki. Konieczne jest uwzględnienie wszelkich okoliczności sprawy, a te dowodzą, że w zakładzie pracy istniał konflikt, a jego przebieg miał podłoże dwustronne, to znaczy po każdej z nich pojawiały się działania, które nie powinny mieć miejsca w żadnym miejscu pracy, a w placówce oświatowej, z uwagi na jej funkcje, w szczególności. Zarządzanie zespołem niesie za sobą ryzyko podejmowania decyzji, które mogą być poddane krytyce. Z tego względu podmiot zarządzający winien cechować się swoistą odpornością na krytykę (także prasową) czy też działania zmierzające do poddania kontroli zewnętrznej jego aktów wewnętrznych.</w:t>
      </w:r>
    </w:p>
    <w:p w14:paraId="6D5E3EF5"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Przede wszystkim, skoro omawiane zjawisko ma dotyczyć dyrektora szkoły, to on - w przeciwieństwie do „zwykłego” pracownika - dysponuje szerszym wachlarzem narzędzi pozwalających uciąć ten proceder. Po stronie dyrektora leży obowiązek takiego </w:t>
      </w:r>
      <w:r w:rsidRPr="00754117">
        <w:rPr>
          <w:rFonts w:ascii="Arial" w:eastAsia="Times New Roman" w:hAnsi="Arial" w:cs="Arial"/>
          <w:color w:val="000000"/>
          <w:sz w:val="23"/>
          <w:szCs w:val="23"/>
          <w:lang w:eastAsia="pl-PL"/>
        </w:rPr>
        <w:lastRenderedPageBreak/>
        <w:t xml:space="preserve">organizowania pracy, by tworzyć optymalne warunki jej wykonywania przez pracowników (nauczycieli). W tym celu zresztą w szkołach działają rady pedagogiczne, czy rady rodziców. Jednym z tych obowiązków jest także przygotowanie stosownych procedur antymobbingowych, a gdy one istnieją, wykorzystanie ich przeciwko potencjalnym sprawcom (tu innym pracownikom szkoły) staje się również obowiązkiem dyrektora. Dyrektor szkoły ma także możliwość sygnalizacji określonych zachowań do organu prowadzącego szkołę, a co więcej może także podejmować inne czynności z zakresu prawa pracy, które powstrzymać powinny sprawców mobbingu przed kolejnymi zachowaniami tego rodzaju (na przykład uruchamianie procedury dyscyplinarnej albo kar porządkowych zgodnie z Kodeksem pracy - art. 75 KN). </w:t>
      </w:r>
      <w:r w:rsidRPr="00754117">
        <w:rPr>
          <w:rFonts w:ascii="Arial" w:eastAsia="Times New Roman" w:hAnsi="Arial" w:cs="Arial"/>
          <w:color w:val="000000"/>
          <w:sz w:val="23"/>
          <w:szCs w:val="23"/>
          <w:highlight w:val="yellow"/>
          <w:lang w:eastAsia="pl-PL"/>
        </w:rPr>
        <w:t>Odpowiedzialności porządkowej i karom wymierzanym przez pracodawcę (jak upomnienie, nagana lub w określonych wypadkach, kara pieniężna) w trybie kodeksu pracy nauczyciele podlegają niezależnie od drogi odpowiedzialności dyscyplinarnej przewidzianej dla nich w art. 75 KN. Pasywne zachowanie na tym polu polaryzuje punkt widzenia powódki, bo jednak dyrektor szkoły w razie bezprawnego nacisku na jego osobę dysponuje skutecznymi środkami zapobiegawczymi, które nie tylko może, ale przede wszystkim powinien uruchomić w celu wyjaśnienia sytuacji zapalnych w środowisku pracy.</w:t>
      </w:r>
      <w:r w:rsidRPr="00754117">
        <w:rPr>
          <w:rFonts w:ascii="Arial" w:eastAsia="Times New Roman" w:hAnsi="Arial" w:cs="Arial"/>
          <w:color w:val="000000"/>
          <w:sz w:val="23"/>
          <w:szCs w:val="23"/>
          <w:lang w:eastAsia="pl-PL"/>
        </w:rPr>
        <w:t xml:space="preserve"> O tym, że powódka potrafiła z takich narzędzi skutecznie korzystać świadczy choćby uwzględnienie jej powództwa w sprawie I C 92/14. Fakt ten - jak i inne poczynione w sprawie - podważają zasadność twierdzenia skarżącej o wystąpieniu u niej zaniżonej oceny przydatności zawodowej, która w prostej linii przenosi się na brak sprawczości. Podjęte przez nią działania wobec naruszenia jej dóbr osobistych, świadczą, że w tym czasie nie stała się ona osobą bezradną i bezbronną.</w:t>
      </w:r>
    </w:p>
    <w:p w14:paraId="53A23171" w14:textId="77777777" w:rsidR="00754117" w:rsidRPr="00754117" w:rsidRDefault="00754117" w:rsidP="00754117">
      <w:pPr>
        <w:shd w:val="clear" w:color="auto" w:fill="FFFFFF"/>
        <w:spacing w:after="144" w:line="360" w:lineRule="atLeast"/>
        <w:rPr>
          <w:rFonts w:ascii="Arial" w:eastAsia="Times New Roman" w:hAnsi="Arial" w:cs="Arial"/>
          <w:color w:val="000000"/>
          <w:sz w:val="23"/>
          <w:szCs w:val="23"/>
          <w:lang w:eastAsia="pl-PL"/>
        </w:rPr>
      </w:pPr>
      <w:r w:rsidRPr="00754117">
        <w:rPr>
          <w:rFonts w:ascii="Arial" w:eastAsia="Times New Roman" w:hAnsi="Arial" w:cs="Arial"/>
          <w:color w:val="000000"/>
          <w:sz w:val="23"/>
          <w:szCs w:val="23"/>
          <w:lang w:eastAsia="pl-PL"/>
        </w:rPr>
        <w:t xml:space="preserve">Z drugiej strony samo poczucie dyrektora szkoły (i pracownika </w:t>
      </w:r>
      <w:proofErr w:type="spellStart"/>
      <w:r w:rsidRPr="00754117">
        <w:rPr>
          <w:rFonts w:ascii="Arial" w:eastAsia="Times New Roman" w:hAnsi="Arial" w:cs="Arial"/>
          <w:color w:val="000000"/>
          <w:sz w:val="23"/>
          <w:szCs w:val="23"/>
          <w:lang w:eastAsia="pl-PL"/>
        </w:rPr>
        <w:t>jednocze</w:t>
      </w:r>
      <w:proofErr w:type="spellEnd"/>
    </w:p>
    <w:p w14:paraId="0A799E1D" w14:textId="77777777" w:rsidR="0096231C" w:rsidRDefault="0096231C"/>
    <w:sectPr w:rsidR="009623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var(--legalis-font-family)">
    <w:altName w:val="Cambria"/>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5D6B"/>
    <w:rsid w:val="000A54ED"/>
    <w:rsid w:val="00754117"/>
    <w:rsid w:val="0096231C"/>
    <w:rsid w:val="00B25D6B"/>
    <w:rsid w:val="00C00DB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69B41BFB-6D62-42AE-BA2F-B438E57AA4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7216050">
      <w:bodyDiv w:val="1"/>
      <w:marLeft w:val="0"/>
      <w:marRight w:val="0"/>
      <w:marTop w:val="0"/>
      <w:marBottom w:val="0"/>
      <w:divBdr>
        <w:top w:val="none" w:sz="0" w:space="0" w:color="auto"/>
        <w:left w:val="none" w:sz="0" w:space="0" w:color="auto"/>
        <w:bottom w:val="none" w:sz="0" w:space="0" w:color="auto"/>
        <w:right w:val="none" w:sz="0" w:space="0" w:color="auto"/>
      </w:divBdr>
      <w:divsChild>
        <w:div w:id="1382097957">
          <w:marLeft w:val="0"/>
          <w:marRight w:val="0"/>
          <w:marTop w:val="0"/>
          <w:marBottom w:val="0"/>
          <w:divBdr>
            <w:top w:val="none" w:sz="0" w:space="0" w:color="auto"/>
            <w:left w:val="none" w:sz="0" w:space="0" w:color="auto"/>
            <w:bottom w:val="none" w:sz="0" w:space="0" w:color="auto"/>
            <w:right w:val="none" w:sz="0" w:space="0" w:color="auto"/>
          </w:divBdr>
          <w:divsChild>
            <w:div w:id="490679445">
              <w:marLeft w:val="0"/>
              <w:marRight w:val="0"/>
              <w:marTop w:val="0"/>
              <w:marBottom w:val="0"/>
              <w:divBdr>
                <w:top w:val="none" w:sz="0" w:space="0" w:color="auto"/>
                <w:left w:val="none" w:sz="0" w:space="0" w:color="auto"/>
                <w:bottom w:val="none" w:sz="0" w:space="0" w:color="auto"/>
                <w:right w:val="none" w:sz="0" w:space="0" w:color="auto"/>
              </w:divBdr>
              <w:divsChild>
                <w:div w:id="1405377396">
                  <w:marLeft w:val="0"/>
                  <w:marRight w:val="0"/>
                  <w:marTop w:val="0"/>
                  <w:marBottom w:val="0"/>
                  <w:divBdr>
                    <w:top w:val="none" w:sz="0" w:space="0" w:color="auto"/>
                    <w:left w:val="none" w:sz="0" w:space="0" w:color="auto"/>
                    <w:bottom w:val="none" w:sz="0" w:space="0" w:color="auto"/>
                    <w:right w:val="none" w:sz="0" w:space="0" w:color="auto"/>
                  </w:divBdr>
                  <w:divsChild>
                    <w:div w:id="1547982743">
                      <w:marLeft w:val="0"/>
                      <w:marRight w:val="0"/>
                      <w:marTop w:val="0"/>
                      <w:marBottom w:val="0"/>
                      <w:divBdr>
                        <w:top w:val="none" w:sz="0" w:space="0" w:color="auto"/>
                        <w:left w:val="none" w:sz="0" w:space="0" w:color="auto"/>
                        <w:bottom w:val="none" w:sz="0" w:space="0" w:color="auto"/>
                        <w:right w:val="none" w:sz="0" w:space="0" w:color="auto"/>
                      </w:divBdr>
                      <w:divsChild>
                        <w:div w:id="1446585313">
                          <w:marLeft w:val="0"/>
                          <w:marRight w:val="0"/>
                          <w:marTop w:val="0"/>
                          <w:marBottom w:val="0"/>
                          <w:divBdr>
                            <w:top w:val="none" w:sz="0" w:space="0" w:color="auto"/>
                            <w:left w:val="none" w:sz="0" w:space="0" w:color="auto"/>
                            <w:bottom w:val="none" w:sz="0" w:space="0" w:color="auto"/>
                            <w:right w:val="none" w:sz="0" w:space="0" w:color="auto"/>
                          </w:divBdr>
                          <w:divsChild>
                            <w:div w:id="680543903">
                              <w:marLeft w:val="0"/>
                              <w:marRight w:val="0"/>
                              <w:marTop w:val="0"/>
                              <w:marBottom w:val="0"/>
                              <w:divBdr>
                                <w:top w:val="none" w:sz="0" w:space="0" w:color="auto"/>
                                <w:left w:val="none" w:sz="0" w:space="0" w:color="auto"/>
                                <w:bottom w:val="none" w:sz="0" w:space="0" w:color="auto"/>
                                <w:right w:val="none" w:sz="0" w:space="0" w:color="auto"/>
                              </w:divBdr>
                            </w:div>
                          </w:divsChild>
                        </w:div>
                        <w:div w:id="1802453286">
                          <w:marLeft w:val="0"/>
                          <w:marRight w:val="0"/>
                          <w:marTop w:val="0"/>
                          <w:marBottom w:val="0"/>
                          <w:divBdr>
                            <w:top w:val="none" w:sz="0" w:space="0" w:color="auto"/>
                            <w:left w:val="none" w:sz="0" w:space="0" w:color="auto"/>
                            <w:bottom w:val="none" w:sz="0" w:space="0" w:color="auto"/>
                            <w:right w:val="none" w:sz="0" w:space="0" w:color="auto"/>
                          </w:divBdr>
                          <w:divsChild>
                            <w:div w:id="2058816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54671">
          <w:marLeft w:val="0"/>
          <w:marRight w:val="0"/>
          <w:marTop w:val="0"/>
          <w:marBottom w:val="0"/>
          <w:divBdr>
            <w:top w:val="none" w:sz="0" w:space="0" w:color="auto"/>
            <w:left w:val="none" w:sz="0" w:space="0" w:color="auto"/>
            <w:bottom w:val="none" w:sz="0" w:space="0" w:color="auto"/>
            <w:right w:val="none" w:sz="0" w:space="0" w:color="auto"/>
          </w:divBdr>
          <w:divsChild>
            <w:div w:id="842428995">
              <w:marLeft w:val="0"/>
              <w:marRight w:val="0"/>
              <w:marTop w:val="0"/>
              <w:marBottom w:val="0"/>
              <w:divBdr>
                <w:top w:val="none" w:sz="0" w:space="0" w:color="auto"/>
                <w:left w:val="none" w:sz="0" w:space="0" w:color="auto"/>
                <w:bottom w:val="none" w:sz="0" w:space="0" w:color="auto"/>
                <w:right w:val="none" w:sz="0" w:space="0" w:color="auto"/>
              </w:divBdr>
            </w:div>
          </w:divsChild>
        </w:div>
        <w:div w:id="1818499356">
          <w:marLeft w:val="0"/>
          <w:marRight w:val="0"/>
          <w:marTop w:val="0"/>
          <w:marBottom w:val="0"/>
          <w:divBdr>
            <w:top w:val="none" w:sz="0" w:space="0" w:color="auto"/>
            <w:left w:val="none" w:sz="0" w:space="0" w:color="auto"/>
            <w:bottom w:val="none" w:sz="0" w:space="0" w:color="auto"/>
            <w:right w:val="none" w:sz="0" w:space="0" w:color="auto"/>
          </w:divBdr>
          <w:divsChild>
            <w:div w:id="1450782416">
              <w:marLeft w:val="0"/>
              <w:marRight w:val="0"/>
              <w:marTop w:val="0"/>
              <w:marBottom w:val="0"/>
              <w:divBdr>
                <w:top w:val="none" w:sz="0" w:space="0" w:color="auto"/>
                <w:left w:val="none" w:sz="0" w:space="0" w:color="auto"/>
                <w:bottom w:val="none" w:sz="0" w:space="0" w:color="auto"/>
                <w:right w:val="none" w:sz="0" w:space="0" w:color="auto"/>
              </w:divBdr>
              <w:divsChild>
                <w:div w:id="1252084920">
                  <w:marLeft w:val="0"/>
                  <w:marRight w:val="0"/>
                  <w:marTop w:val="0"/>
                  <w:marBottom w:val="0"/>
                  <w:divBdr>
                    <w:top w:val="none" w:sz="0" w:space="0" w:color="auto"/>
                    <w:left w:val="none" w:sz="0" w:space="0" w:color="auto"/>
                    <w:bottom w:val="none" w:sz="0" w:space="0" w:color="auto"/>
                    <w:right w:val="none" w:sz="0" w:space="0" w:color="auto"/>
                  </w:divBdr>
                  <w:divsChild>
                    <w:div w:id="1396196499">
                      <w:marLeft w:val="0"/>
                      <w:marRight w:val="300"/>
                      <w:marTop w:val="0"/>
                      <w:marBottom w:val="0"/>
                      <w:divBdr>
                        <w:top w:val="none" w:sz="0" w:space="0" w:color="auto"/>
                        <w:left w:val="none" w:sz="0" w:space="0" w:color="auto"/>
                        <w:bottom w:val="none" w:sz="0" w:space="0" w:color="auto"/>
                        <w:right w:val="none" w:sz="0" w:space="0" w:color="auto"/>
                      </w:divBdr>
                      <w:divsChild>
                        <w:div w:id="1812096708">
                          <w:marLeft w:val="0"/>
                          <w:marRight w:val="0"/>
                          <w:marTop w:val="0"/>
                          <w:marBottom w:val="0"/>
                          <w:divBdr>
                            <w:top w:val="none" w:sz="0" w:space="0" w:color="auto"/>
                            <w:left w:val="none" w:sz="0" w:space="0" w:color="auto"/>
                            <w:bottom w:val="none" w:sz="0" w:space="0" w:color="auto"/>
                            <w:right w:val="none" w:sz="0" w:space="0" w:color="auto"/>
                          </w:divBdr>
                        </w:div>
                        <w:div w:id="478153958">
                          <w:marLeft w:val="0"/>
                          <w:marRight w:val="0"/>
                          <w:marTop w:val="0"/>
                          <w:marBottom w:val="0"/>
                          <w:divBdr>
                            <w:top w:val="none" w:sz="0" w:space="0" w:color="auto"/>
                            <w:left w:val="none" w:sz="0" w:space="0" w:color="auto"/>
                            <w:bottom w:val="none" w:sz="0" w:space="0" w:color="auto"/>
                            <w:right w:val="none" w:sz="0" w:space="0" w:color="auto"/>
                          </w:divBdr>
                        </w:div>
                        <w:div w:id="1359308380">
                          <w:marLeft w:val="0"/>
                          <w:marRight w:val="0"/>
                          <w:marTop w:val="0"/>
                          <w:marBottom w:val="0"/>
                          <w:divBdr>
                            <w:top w:val="none" w:sz="0" w:space="0" w:color="auto"/>
                            <w:left w:val="none" w:sz="0" w:space="0" w:color="auto"/>
                            <w:bottom w:val="none" w:sz="0" w:space="0" w:color="auto"/>
                            <w:right w:val="none" w:sz="0" w:space="0" w:color="auto"/>
                          </w:divBdr>
                        </w:div>
                        <w:div w:id="203603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galis.pl/document-view.seam?documentId=mfrxilrtguydqmjvge2a&amp;refSource=hypdec" TargetMode="External"/><Relationship Id="rId18" Type="http://schemas.openxmlformats.org/officeDocument/2006/relationships/hyperlink" Target="https://sip.legalis.pl/document-view.seam?documentId=mfrxilruguytcnzqgyzc44dboaxdcmbygy2tmmjy&amp;refSource=hypdec" TargetMode="External"/><Relationship Id="rId26" Type="http://schemas.openxmlformats.org/officeDocument/2006/relationships/hyperlink" Target="https://sip.legalis.pl/document-view.seam?documentId=mfrxilruguytcnzqgyzc44dboaxdcmbygy2tmmjz&amp;refSource=hypdec" TargetMode="External"/><Relationship Id="rId39" Type="http://schemas.openxmlformats.org/officeDocument/2006/relationships/fontTable" Target="fontTable.xml"/><Relationship Id="rId21" Type="http://schemas.openxmlformats.org/officeDocument/2006/relationships/hyperlink" Target="https://sip.legalis.pl/document-view.seam?documentId=mfrxilrsgm4taoboobqxalrrgazdonzz&amp;refSource=hypdec" TargetMode="External"/><Relationship Id="rId34" Type="http://schemas.openxmlformats.org/officeDocument/2006/relationships/hyperlink" Target="https://sip.legalis.pl/document-view.seam?documentId=mfrxilryguztgojsga3a&amp;refSource=hypdec" TargetMode="External"/><Relationship Id="rId7" Type="http://schemas.openxmlformats.org/officeDocument/2006/relationships/hyperlink" Target="https://sip.legalis.pl/document-view.seam?documentId=mfrxilruguytcnzqgyzc44dboaxdcmbygy2tmmjx&amp;refSource=hypdec" TargetMode="External"/><Relationship Id="rId12" Type="http://schemas.openxmlformats.org/officeDocument/2006/relationships/hyperlink" Target="https://sip.legalis.pl/document-view.seam?documentId=mfrxilrtguydqmjvge2c44dboaxdcmjsga3dsobu&amp;refSource=hypdec" TargetMode="External"/><Relationship Id="rId17" Type="http://schemas.openxmlformats.org/officeDocument/2006/relationships/hyperlink" Target="https://sip.legalis.pl/document-view.seam?documentId=mfrxilruguytcnzqgyzc44dboaxdcmbygy2tmmjy&amp;refSource=hypdec" TargetMode="External"/><Relationship Id="rId25" Type="http://schemas.openxmlformats.org/officeDocument/2006/relationships/hyperlink" Target="https://sip.legalis.pl/document-view.seam?documentId=mfrxilruguytcnzqgyzc44dboaxdcmbugazdkmjw&amp;refSource=hypdec" TargetMode="External"/><Relationship Id="rId33" Type="http://schemas.openxmlformats.org/officeDocument/2006/relationships/hyperlink" Target="https://sip.legalis.pl/document-view.seam?documentId=mfrxilrtguydqmjvge2a&amp;refSource=hypdec" TargetMode="External"/><Relationship Id="rId38" Type="http://schemas.openxmlformats.org/officeDocument/2006/relationships/hyperlink" Target="https://sip.legalis.pl/document-view.seam?documentId=mfrxilruguytcnzqgyzc44dboaxdcmbygy2tmmjy&amp;refSource=hypdec" TargetMode="External"/><Relationship Id="rId2" Type="http://schemas.openxmlformats.org/officeDocument/2006/relationships/settings" Target="settings.xml"/><Relationship Id="rId16" Type="http://schemas.openxmlformats.org/officeDocument/2006/relationships/hyperlink" Target="https://sip.legalis.pl/document-view.seam?documentId=mfrxilrsgqztkma&amp;refSource=hypdec" TargetMode="External"/><Relationship Id="rId20" Type="http://schemas.openxmlformats.org/officeDocument/2006/relationships/hyperlink" Target="https://sip.legalis.pl/document-view.seam?documentId=mfrxilrsgm4taoboobqxalrrgazdonzz&amp;refSource=hypdec" TargetMode="External"/><Relationship Id="rId29" Type="http://schemas.openxmlformats.org/officeDocument/2006/relationships/hyperlink" Target="https://sip.legalis.pl/document-view.seam?documentId=mrswglrtgy3tqnzug4ydk&amp;refSource=hypdec" TargetMode="External"/><Relationship Id="rId1" Type="http://schemas.openxmlformats.org/officeDocument/2006/relationships/styles" Target="styles.xml"/><Relationship Id="rId6" Type="http://schemas.openxmlformats.org/officeDocument/2006/relationships/hyperlink" Target="https://sip.legalis.pl/document-view.seam?documentId=mfrxilruguytcnzqgyzc44dboaxdcmbugazdqmbv&amp;refSource=hypdec" TargetMode="External"/><Relationship Id="rId11" Type="http://schemas.openxmlformats.org/officeDocument/2006/relationships/hyperlink" Target="https://sip.legalis.pl/document-view.seam?documentId=mfrxilruguytcnzqgyzc44dboaxdcmbugazdkmjw&amp;refSource=hypdec" TargetMode="External"/><Relationship Id="rId24" Type="http://schemas.openxmlformats.org/officeDocument/2006/relationships/hyperlink" Target="https://sip.legalis.pl/document-view.seam?documentId=mfrxilruguytcnzqgyzc44dboaxdcmbygy2tmmjw&amp;refSource=hypdec" TargetMode="External"/><Relationship Id="rId32" Type="http://schemas.openxmlformats.org/officeDocument/2006/relationships/hyperlink" Target="https://sip.legalis.pl/document-view.seam?documentId=mfrxilrtg4ytanzuhe3te&amp;refSource=hypdec" TargetMode="External"/><Relationship Id="rId37" Type="http://schemas.openxmlformats.org/officeDocument/2006/relationships/hyperlink" Target="https://sip.legalis.pl/document-view.seam?documentId=mfrxilruguytcnzqgyzc44dboaxdcmbygy2tmmjz&amp;refSource=hypdec" TargetMode="External"/><Relationship Id="rId40" Type="http://schemas.openxmlformats.org/officeDocument/2006/relationships/theme" Target="theme/theme1.xml"/><Relationship Id="rId5" Type="http://schemas.openxmlformats.org/officeDocument/2006/relationships/control" Target="activeX/activeX1.xml"/><Relationship Id="rId15" Type="http://schemas.openxmlformats.org/officeDocument/2006/relationships/hyperlink" Target="https://sip.legalis.pl/document-view.seam?documentId=mfrxilrsgqztkmboobqxalrrgeydemztgazq&amp;refSource=hypdec" TargetMode="External"/><Relationship Id="rId23" Type="http://schemas.openxmlformats.org/officeDocument/2006/relationships/hyperlink" Target="https://sip.legalis.pl/document-view.seam?documentId=mfrxilruguytcnzqgyzc44dboaxdcmbygy2tmmjx&amp;refSource=hypdec" TargetMode="External"/><Relationship Id="rId28" Type="http://schemas.openxmlformats.org/officeDocument/2006/relationships/hyperlink" Target="https://sip.legalis.pl/document-view.seam?documentId=mfrxilruguytcnzqgyzc44dboaxdcmbygy2tmmjy&amp;refSource=hypdec" TargetMode="External"/><Relationship Id="rId36" Type="http://schemas.openxmlformats.org/officeDocument/2006/relationships/hyperlink" Target="https://sip.legalis.pl/document-view.seam?documentId=mfrxilrtg4ytanzuhe3teltqmfyc4mzxgq2tknjqge&amp;refSource=hypdec" TargetMode="External"/><Relationship Id="rId10" Type="http://schemas.openxmlformats.org/officeDocument/2006/relationships/hyperlink" Target="https://sip.legalis.pl/document-view.seam?documentId=mfrxilruguytcnzqgyzc44dboaxdcmbygy2tmmjy&amp;refSource=hypdec" TargetMode="External"/><Relationship Id="rId19" Type="http://schemas.openxmlformats.org/officeDocument/2006/relationships/hyperlink" Target="https://sip.legalis.pl/document-view.seam?documentId=mfrxilrsgm4taoboobqxalrrgazdonzz&amp;refSource=hypdec" TargetMode="External"/><Relationship Id="rId31" Type="http://schemas.openxmlformats.org/officeDocument/2006/relationships/hyperlink" Target="https://sip.legalis.pl/document-view.seam?documentId=mfrxilrsgqztkma&amp;refSource=hypdec" TargetMode="External"/><Relationship Id="rId4" Type="http://schemas.openxmlformats.org/officeDocument/2006/relationships/image" Target="media/image1.wmf"/><Relationship Id="rId9" Type="http://schemas.openxmlformats.org/officeDocument/2006/relationships/hyperlink" Target="https://sip.legalis.pl/document-view.seam?documentId=mfrxilrsgm4taoboobqxalrshaztk&amp;refSource=hypdec" TargetMode="External"/><Relationship Id="rId14" Type="http://schemas.openxmlformats.org/officeDocument/2006/relationships/hyperlink" Target="https://sip.legalis.pl/document-view.seam?documentId=mfrxilrsgqztkmboobqxalrtgu2tcnjsgi2a&amp;refSource=hypdec" TargetMode="External"/><Relationship Id="rId22" Type="http://schemas.openxmlformats.org/officeDocument/2006/relationships/hyperlink" Target="https://sip.legalis.pl/document-view.seam?documentId=mfrxilrsgm4taoboobqxalrrgazdonzz&amp;refSource=hypdec" TargetMode="External"/><Relationship Id="rId27" Type="http://schemas.openxmlformats.org/officeDocument/2006/relationships/hyperlink" Target="https://sip.legalis.pl/document-view.seam?documentId=mfrxilruguytcnzqgyzc44dboaxdcmbygy2tmmjw&amp;refSource=hypdec" TargetMode="External"/><Relationship Id="rId30" Type="http://schemas.openxmlformats.org/officeDocument/2006/relationships/hyperlink" Target="https://sip.legalis.pl/document-view.seam?documentId=mfrxilruguytcnzqgyzc44dboaxdcmbugazdkmjx&amp;refSource=hypdec" TargetMode="External"/><Relationship Id="rId35" Type="http://schemas.openxmlformats.org/officeDocument/2006/relationships/hyperlink" Target="https://sip.legalis.pl/document-view.seam?documentId=mfrxilrtg4ytanzuhe3teltqmfyc4mzxgq2tmmjugy&amp;refSource=hypdec" TargetMode="External"/><Relationship Id="rId8" Type="http://schemas.openxmlformats.org/officeDocument/2006/relationships/hyperlink" Target="https://sip.legalis.pl/document-view.seam?documentId=mfrxilruguytcnzqgyzc44dboaxdcmbygy2tmmjy&amp;refSource=hypdec" TargetMode="External"/><Relationship Id="rId3" Type="http://schemas.openxmlformats.org/officeDocument/2006/relationships/webSettings" Target="webSettings.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11</Pages>
  <Words>4757</Words>
  <Characters>28547</Characters>
  <Application>Microsoft Office Word</Application>
  <DocSecurity>0</DocSecurity>
  <Lines>237</Lines>
  <Paragraphs>66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33238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Kordjak</dc:creator>
  <cp:keywords/>
  <dc:description/>
  <cp:lastModifiedBy>Iwona Kordjak</cp:lastModifiedBy>
  <cp:revision>3</cp:revision>
  <dcterms:created xsi:type="dcterms:W3CDTF">2025-01-10T21:36:00Z</dcterms:created>
  <dcterms:modified xsi:type="dcterms:W3CDTF">2025-02-08T21:12:00Z</dcterms:modified>
</cp:coreProperties>
</file>